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380" w:rsidRPr="00B02380" w:rsidRDefault="00B02380" w:rsidP="00B02380">
      <w:pPr>
        <w:widowControl w:val="0"/>
        <w:spacing w:after="0" w:line="240" w:lineRule="auto"/>
        <w:ind w:left="5040" w:firstLine="720"/>
        <w:rPr>
          <w:rFonts w:ascii="Times New Roman" w:eastAsia="Times New Roman" w:hAnsi="Times New Roman" w:cs="Times New Roman"/>
          <w:b/>
          <w:bCs/>
          <w:snapToGrid w:val="0"/>
          <w:sz w:val="32"/>
          <w:szCs w:val="32"/>
        </w:rPr>
      </w:pPr>
      <w:bookmarkStart w:id="0" w:name="_GoBack"/>
      <w:bookmarkEnd w:id="0"/>
    </w:p>
    <w:p w:rsidR="00B02380" w:rsidRPr="003D0B8D" w:rsidRDefault="00A94850" w:rsidP="003D0B8D">
      <w:pPr>
        <w:widowControl w:val="0"/>
        <w:spacing w:after="0" w:line="240" w:lineRule="auto"/>
        <w:jc w:val="center"/>
        <w:rPr>
          <w:rFonts w:ascii="Times New Roman" w:eastAsia="Times New Roman" w:hAnsi="Times New Roman" w:cs="Times New Roman"/>
          <w:b/>
          <w:bCs/>
          <w:snapToGrid w:val="0"/>
          <w:sz w:val="24"/>
          <w:szCs w:val="24"/>
        </w:rPr>
      </w:pPr>
      <w:r w:rsidRPr="003D0B8D">
        <w:rPr>
          <w:rFonts w:ascii="Times New Roman" w:eastAsia="Times New Roman" w:hAnsi="Times New Roman" w:cs="Times New Roman"/>
          <w:b/>
          <w:bCs/>
          <w:snapToGrid w:val="0"/>
          <w:sz w:val="32"/>
          <w:szCs w:val="32"/>
        </w:rPr>
        <w:t xml:space="preserve">Small-Basket </w:t>
      </w:r>
      <w:r w:rsidR="0054662B">
        <w:rPr>
          <w:rFonts w:ascii="Times New Roman" w:eastAsia="Times New Roman" w:hAnsi="Times New Roman" w:cs="Times New Roman"/>
          <w:b/>
          <w:bCs/>
          <w:snapToGrid w:val="0"/>
          <w:sz w:val="32"/>
          <w:szCs w:val="32"/>
        </w:rPr>
        <w:t xml:space="preserve">Minimum </w:t>
      </w:r>
      <w:r w:rsidR="00F14B70">
        <w:rPr>
          <w:rFonts w:ascii="Times New Roman" w:eastAsia="Times New Roman" w:hAnsi="Times New Roman" w:cs="Times New Roman"/>
          <w:b/>
          <w:bCs/>
          <w:snapToGrid w:val="0"/>
          <w:sz w:val="32"/>
          <w:szCs w:val="32"/>
        </w:rPr>
        <w:t xml:space="preserve">Expected </w:t>
      </w:r>
      <w:r w:rsidR="0054662B">
        <w:rPr>
          <w:rFonts w:ascii="Times New Roman" w:eastAsia="Times New Roman" w:hAnsi="Times New Roman" w:cs="Times New Roman"/>
          <w:b/>
          <w:bCs/>
          <w:snapToGrid w:val="0"/>
          <w:sz w:val="32"/>
          <w:szCs w:val="32"/>
        </w:rPr>
        <w:t xml:space="preserve">Variance </w:t>
      </w:r>
      <w:r w:rsidRPr="003D0B8D">
        <w:rPr>
          <w:rFonts w:ascii="Times New Roman" w:eastAsia="Times New Roman" w:hAnsi="Times New Roman" w:cs="Times New Roman"/>
          <w:b/>
          <w:bCs/>
          <w:snapToGrid w:val="0"/>
          <w:sz w:val="32"/>
          <w:szCs w:val="32"/>
        </w:rPr>
        <w:t xml:space="preserve">Portfolios of DJIA Stocks:  A Case for Active </w:t>
      </w:r>
      <w:r w:rsidR="005738AD" w:rsidRPr="003D0B8D">
        <w:rPr>
          <w:rFonts w:ascii="Times New Roman" w:eastAsia="Times New Roman" w:hAnsi="Times New Roman" w:cs="Times New Roman"/>
          <w:b/>
          <w:bCs/>
          <w:snapToGrid w:val="0"/>
          <w:sz w:val="32"/>
          <w:szCs w:val="32"/>
        </w:rPr>
        <w:t xml:space="preserve">Management </w:t>
      </w:r>
      <w:r w:rsidR="00B226DA">
        <w:rPr>
          <w:rFonts w:ascii="Times New Roman" w:eastAsia="Times New Roman" w:hAnsi="Times New Roman" w:cs="Times New Roman"/>
          <w:b/>
          <w:bCs/>
          <w:snapToGrid w:val="0"/>
          <w:sz w:val="24"/>
          <w:szCs w:val="24"/>
        </w:rPr>
        <w:br/>
        <w:t>(FPA Presentation – February, 2016)</w:t>
      </w:r>
    </w:p>
    <w:p w:rsidR="00B02380" w:rsidRPr="00E4374C" w:rsidRDefault="00B02380" w:rsidP="003D0B8D">
      <w:pPr>
        <w:widowControl w:val="0"/>
        <w:spacing w:after="0" w:line="240" w:lineRule="auto"/>
        <w:rPr>
          <w:rFonts w:ascii="Times New Roman" w:eastAsia="Times New Roman" w:hAnsi="Times New Roman" w:cs="Times New Roman"/>
          <w:snapToGrid w:val="0"/>
          <w:sz w:val="24"/>
          <w:szCs w:val="24"/>
        </w:rPr>
      </w:pPr>
    </w:p>
    <w:p w:rsidR="00B02380" w:rsidRPr="00E4374C" w:rsidRDefault="00B02380" w:rsidP="00B02380">
      <w:pPr>
        <w:widowControl w:val="0"/>
        <w:spacing w:after="0" w:line="240" w:lineRule="auto"/>
        <w:jc w:val="center"/>
        <w:rPr>
          <w:rFonts w:ascii="Times New Roman" w:eastAsia="Times New Roman" w:hAnsi="Times New Roman" w:cs="Times New Roman"/>
          <w:snapToGrid w:val="0"/>
          <w:sz w:val="24"/>
          <w:szCs w:val="24"/>
        </w:rPr>
      </w:pPr>
    </w:p>
    <w:p w:rsidR="00B02380" w:rsidRPr="00E4374C" w:rsidRDefault="00B02380" w:rsidP="00B02380">
      <w:pPr>
        <w:widowControl w:val="0"/>
        <w:spacing w:after="0" w:line="240" w:lineRule="auto"/>
        <w:jc w:val="center"/>
        <w:rPr>
          <w:rFonts w:ascii="Times New Roman" w:eastAsia="Times New Roman" w:hAnsi="Times New Roman" w:cs="Times New Roman"/>
          <w:snapToGrid w:val="0"/>
          <w:sz w:val="24"/>
          <w:szCs w:val="24"/>
        </w:rPr>
      </w:pPr>
      <w:r w:rsidRPr="00E4374C">
        <w:rPr>
          <w:rFonts w:ascii="Times New Roman" w:eastAsia="Times New Roman" w:hAnsi="Times New Roman" w:cs="Times New Roman"/>
          <w:snapToGrid w:val="0"/>
          <w:sz w:val="24"/>
          <w:szCs w:val="24"/>
        </w:rPr>
        <w:t>Professor Glen A. Larsen, Jr.</w:t>
      </w:r>
    </w:p>
    <w:p w:rsidR="00B02380" w:rsidRPr="00E4374C" w:rsidRDefault="00B02380" w:rsidP="00B02380">
      <w:pPr>
        <w:widowControl w:val="0"/>
        <w:spacing w:after="0" w:line="240" w:lineRule="auto"/>
        <w:jc w:val="center"/>
        <w:rPr>
          <w:rFonts w:ascii="Times New Roman" w:eastAsia="Times New Roman" w:hAnsi="Times New Roman" w:cs="Times New Roman"/>
          <w:i/>
          <w:snapToGrid w:val="0"/>
          <w:sz w:val="24"/>
          <w:szCs w:val="24"/>
        </w:rPr>
      </w:pPr>
      <w:r w:rsidRPr="00E4374C">
        <w:rPr>
          <w:rFonts w:ascii="Times New Roman" w:eastAsia="Times New Roman" w:hAnsi="Times New Roman" w:cs="Times New Roman"/>
          <w:i/>
          <w:snapToGrid w:val="0"/>
          <w:sz w:val="24"/>
          <w:szCs w:val="24"/>
        </w:rPr>
        <w:t>Indiana University Kelley School of Business</w:t>
      </w:r>
    </w:p>
    <w:p w:rsidR="00B02380" w:rsidRPr="00E4374C" w:rsidRDefault="00B02380" w:rsidP="00B02380">
      <w:pPr>
        <w:widowControl w:val="0"/>
        <w:spacing w:after="0" w:line="240" w:lineRule="auto"/>
        <w:jc w:val="center"/>
        <w:rPr>
          <w:rFonts w:ascii="Times New Roman" w:eastAsia="Times New Roman" w:hAnsi="Times New Roman" w:cs="Times New Roman"/>
          <w:i/>
          <w:snapToGrid w:val="0"/>
          <w:sz w:val="24"/>
          <w:szCs w:val="24"/>
        </w:rPr>
      </w:pPr>
      <w:r w:rsidRPr="00E4374C">
        <w:rPr>
          <w:rFonts w:ascii="Times New Roman" w:eastAsia="Times New Roman" w:hAnsi="Times New Roman" w:cs="Times New Roman"/>
          <w:i/>
          <w:snapToGrid w:val="0"/>
          <w:sz w:val="24"/>
          <w:szCs w:val="24"/>
        </w:rPr>
        <w:t>801 W. Michigan St.</w:t>
      </w:r>
    </w:p>
    <w:p w:rsidR="00B02380" w:rsidRPr="00E4374C" w:rsidRDefault="00B02380" w:rsidP="00B02380">
      <w:pPr>
        <w:widowControl w:val="0"/>
        <w:spacing w:after="0" w:line="240" w:lineRule="auto"/>
        <w:jc w:val="center"/>
        <w:rPr>
          <w:rFonts w:ascii="Times New Roman" w:eastAsia="Times New Roman" w:hAnsi="Times New Roman" w:cs="Times New Roman"/>
          <w:i/>
          <w:snapToGrid w:val="0"/>
          <w:sz w:val="24"/>
          <w:szCs w:val="24"/>
        </w:rPr>
      </w:pPr>
      <w:r w:rsidRPr="00E4374C">
        <w:rPr>
          <w:rFonts w:ascii="Times New Roman" w:eastAsia="Times New Roman" w:hAnsi="Times New Roman" w:cs="Times New Roman"/>
          <w:i/>
          <w:snapToGrid w:val="0"/>
          <w:sz w:val="24"/>
          <w:szCs w:val="24"/>
        </w:rPr>
        <w:t>Indianapolis, IN 46202, USA</w:t>
      </w:r>
    </w:p>
    <w:p w:rsidR="00B02380" w:rsidRDefault="00B02380" w:rsidP="00B02380">
      <w:pPr>
        <w:widowControl w:val="0"/>
        <w:spacing w:after="0" w:line="240" w:lineRule="auto"/>
        <w:jc w:val="center"/>
        <w:rPr>
          <w:rFonts w:ascii="Times New Roman" w:eastAsia="Times New Roman" w:hAnsi="Times New Roman" w:cs="Times New Roman"/>
          <w:snapToGrid w:val="0"/>
          <w:color w:val="0000FF"/>
          <w:sz w:val="24"/>
          <w:szCs w:val="24"/>
          <w:u w:val="single"/>
        </w:rPr>
      </w:pPr>
      <w:r w:rsidRPr="00E4374C">
        <w:rPr>
          <w:rFonts w:ascii="Times New Roman" w:eastAsia="Times New Roman" w:hAnsi="Times New Roman" w:cs="Times New Roman"/>
          <w:snapToGrid w:val="0"/>
          <w:sz w:val="24"/>
          <w:szCs w:val="24"/>
        </w:rPr>
        <w:t xml:space="preserve">(317) 274-3794, </w:t>
      </w:r>
      <w:hyperlink r:id="rId8" w:history="1">
        <w:r w:rsidRPr="00E4374C">
          <w:rPr>
            <w:rFonts w:ascii="Times New Roman" w:eastAsia="Times New Roman" w:hAnsi="Times New Roman" w:cs="Times New Roman"/>
            <w:snapToGrid w:val="0"/>
            <w:color w:val="0000FF"/>
            <w:sz w:val="24"/>
            <w:szCs w:val="24"/>
            <w:u w:val="single"/>
          </w:rPr>
          <w:t>glarsen@iupui.edu</w:t>
        </w:r>
      </w:hyperlink>
    </w:p>
    <w:p w:rsidR="00F14B70" w:rsidRDefault="00F14B70" w:rsidP="00B02380">
      <w:pPr>
        <w:widowControl w:val="0"/>
        <w:spacing w:after="0" w:line="240" w:lineRule="auto"/>
        <w:jc w:val="center"/>
        <w:rPr>
          <w:rFonts w:ascii="Times New Roman" w:eastAsia="Times New Roman" w:hAnsi="Times New Roman" w:cs="Times New Roman"/>
          <w:snapToGrid w:val="0"/>
          <w:color w:val="0000FF"/>
          <w:sz w:val="24"/>
          <w:szCs w:val="24"/>
          <w:u w:val="single"/>
        </w:rPr>
      </w:pPr>
    </w:p>
    <w:p w:rsidR="00B02380" w:rsidRPr="00E4374C" w:rsidRDefault="00B02380" w:rsidP="004163DC">
      <w:pPr>
        <w:widowControl w:val="0"/>
        <w:spacing w:after="0" w:line="240" w:lineRule="auto"/>
        <w:rPr>
          <w:rFonts w:ascii="Times New Roman" w:eastAsia="Times New Roman" w:hAnsi="Times New Roman" w:cs="Times New Roman"/>
          <w:sz w:val="24"/>
          <w:szCs w:val="24"/>
        </w:rPr>
      </w:pPr>
    </w:p>
    <w:p w:rsidR="00B02380" w:rsidRPr="00B02380" w:rsidRDefault="00B02380" w:rsidP="00B02380">
      <w:pPr>
        <w:widowControl w:val="0"/>
        <w:spacing w:after="0" w:line="240" w:lineRule="auto"/>
        <w:jc w:val="both"/>
        <w:rPr>
          <w:rFonts w:ascii="Times New Roman" w:eastAsia="Times New Roman" w:hAnsi="Times New Roman" w:cs="Times New Roman"/>
          <w:snapToGrid w:val="0"/>
          <w:sz w:val="24"/>
          <w:szCs w:val="24"/>
        </w:rPr>
      </w:pPr>
    </w:p>
    <w:p w:rsidR="0054662B" w:rsidRDefault="004163DC" w:rsidP="004163DC">
      <w:pPr>
        <w:rPr>
          <w:rFonts w:ascii="Times New Roman" w:hAnsi="Times New Roman" w:cs="Times New Roman"/>
          <w:sz w:val="24"/>
          <w:szCs w:val="24"/>
        </w:rPr>
      </w:pPr>
      <w:r w:rsidRPr="004163DC">
        <w:rPr>
          <w:rFonts w:ascii="Times New Roman" w:hAnsi="Times New Roman" w:cs="Times New Roman"/>
          <w:sz w:val="24"/>
          <w:szCs w:val="24"/>
        </w:rPr>
        <w:t xml:space="preserve">The focus of this research is on the performance of portfolios constructed from stocks that make up the Dow Jones Industrial Average (DJIA) using a long-only (no short sales allowed) small-basket minimum </w:t>
      </w:r>
      <w:r w:rsidR="0054662B">
        <w:rPr>
          <w:rFonts w:ascii="Times New Roman" w:hAnsi="Times New Roman" w:cs="Times New Roman"/>
          <w:sz w:val="24"/>
          <w:szCs w:val="24"/>
        </w:rPr>
        <w:t xml:space="preserve">expected </w:t>
      </w:r>
      <w:r w:rsidRPr="004163DC">
        <w:rPr>
          <w:rFonts w:ascii="Times New Roman" w:hAnsi="Times New Roman" w:cs="Times New Roman"/>
          <w:sz w:val="24"/>
          <w:szCs w:val="24"/>
        </w:rPr>
        <w:t xml:space="preserve">variance portfolio </w:t>
      </w:r>
      <w:r w:rsidRPr="005738AD">
        <w:rPr>
          <w:rFonts w:ascii="Times New Roman" w:hAnsi="Times New Roman" w:cs="Times New Roman"/>
          <w:b/>
          <w:sz w:val="24"/>
          <w:szCs w:val="24"/>
        </w:rPr>
        <w:t>(SBMVP) strategy</w:t>
      </w:r>
      <w:r w:rsidRPr="004163DC">
        <w:rPr>
          <w:rFonts w:ascii="Times New Roman" w:hAnsi="Times New Roman" w:cs="Times New Roman"/>
          <w:sz w:val="24"/>
          <w:szCs w:val="24"/>
        </w:rPr>
        <w:t>.  The results suggest investors may be able realize enhanced performance relative to th</w:t>
      </w:r>
      <w:r w:rsidR="00E24B0A">
        <w:rPr>
          <w:rFonts w:ascii="Times New Roman" w:hAnsi="Times New Roman" w:cs="Times New Roman"/>
          <w:sz w:val="24"/>
          <w:szCs w:val="24"/>
        </w:rPr>
        <w:t xml:space="preserve">e 30-stock DJIA by constructing </w:t>
      </w:r>
      <w:r w:rsidR="00F14B70">
        <w:rPr>
          <w:rFonts w:ascii="Times New Roman" w:hAnsi="Times New Roman" w:cs="Times New Roman"/>
          <w:sz w:val="24"/>
          <w:szCs w:val="24"/>
        </w:rPr>
        <w:t xml:space="preserve">minimum expected variance (low expected volatility) portfolios of fewer than 10 </w:t>
      </w:r>
      <w:r w:rsidRPr="004163DC">
        <w:rPr>
          <w:rFonts w:ascii="Times New Roman" w:hAnsi="Times New Roman" w:cs="Times New Roman"/>
          <w:sz w:val="24"/>
          <w:szCs w:val="24"/>
        </w:rPr>
        <w:t>DJIA stocks.</w:t>
      </w:r>
    </w:p>
    <w:p w:rsidR="00DC186C" w:rsidRDefault="00DC186C" w:rsidP="004163DC">
      <w:pPr>
        <w:rPr>
          <w:rFonts w:ascii="Times New Roman" w:hAnsi="Times New Roman" w:cs="Times New Roman"/>
          <w:sz w:val="24"/>
          <w:szCs w:val="24"/>
        </w:rPr>
      </w:pPr>
    </w:p>
    <w:p w:rsidR="00013DCC" w:rsidRDefault="00DC186C" w:rsidP="0054662B">
      <w:pPr>
        <w:rPr>
          <w:rFonts w:ascii="Times New Roman" w:hAnsi="Times New Roman" w:cs="Times New Roman"/>
          <w:b/>
          <w:sz w:val="24"/>
          <w:szCs w:val="24"/>
        </w:rPr>
      </w:pPr>
      <w:r w:rsidRPr="00DC186C">
        <w:rPr>
          <w:rFonts w:ascii="Times New Roman" w:hAnsi="Times New Roman" w:cs="Times New Roman"/>
          <w:b/>
          <w:sz w:val="24"/>
          <w:szCs w:val="24"/>
        </w:rPr>
        <w:t>Why focus on</w:t>
      </w:r>
      <w:r>
        <w:rPr>
          <w:rFonts w:ascii="Times New Roman" w:hAnsi="Times New Roman" w:cs="Times New Roman"/>
          <w:b/>
          <w:sz w:val="24"/>
          <w:szCs w:val="24"/>
        </w:rPr>
        <w:t xml:space="preserve"> </w:t>
      </w:r>
      <w:r w:rsidR="00013DCC">
        <w:rPr>
          <w:rFonts w:ascii="Times New Roman" w:hAnsi="Times New Roman" w:cs="Times New Roman"/>
          <w:b/>
          <w:sz w:val="24"/>
          <w:szCs w:val="24"/>
        </w:rPr>
        <w:t xml:space="preserve">Small-Basket </w:t>
      </w:r>
      <w:r>
        <w:rPr>
          <w:rFonts w:ascii="Times New Roman" w:hAnsi="Times New Roman" w:cs="Times New Roman"/>
          <w:b/>
          <w:sz w:val="24"/>
          <w:szCs w:val="24"/>
        </w:rPr>
        <w:t>Por</w:t>
      </w:r>
      <w:r w:rsidR="00013DCC">
        <w:rPr>
          <w:rFonts w:ascii="Times New Roman" w:hAnsi="Times New Roman" w:cs="Times New Roman"/>
          <w:b/>
          <w:sz w:val="24"/>
          <w:szCs w:val="24"/>
        </w:rPr>
        <w:t>t</w:t>
      </w:r>
      <w:r>
        <w:rPr>
          <w:rFonts w:ascii="Times New Roman" w:hAnsi="Times New Roman" w:cs="Times New Roman"/>
          <w:b/>
          <w:sz w:val="24"/>
          <w:szCs w:val="24"/>
        </w:rPr>
        <w:t>folios</w:t>
      </w:r>
      <w:r w:rsidRPr="00DC186C">
        <w:rPr>
          <w:rFonts w:ascii="Times New Roman" w:hAnsi="Times New Roman" w:cs="Times New Roman"/>
          <w:b/>
          <w:sz w:val="24"/>
          <w:szCs w:val="24"/>
        </w:rPr>
        <w:t>?</w:t>
      </w:r>
    </w:p>
    <w:p w:rsidR="0054662B" w:rsidRPr="0054662B" w:rsidRDefault="00013DCC" w:rsidP="0054662B">
      <w:pPr>
        <w:rPr>
          <w:rFonts w:ascii="Times New Roman" w:hAnsi="Times New Roman" w:cs="Times New Roman"/>
          <w:sz w:val="24"/>
          <w:szCs w:val="24"/>
        </w:rPr>
      </w:pPr>
      <w:r>
        <w:rPr>
          <w:rFonts w:ascii="Times New Roman" w:hAnsi="Times New Roman" w:cs="Times New Roman"/>
          <w:b/>
          <w:sz w:val="24"/>
          <w:szCs w:val="24"/>
        </w:rPr>
        <w:t>1</w:t>
      </w:r>
      <w:r w:rsidR="0054662B" w:rsidRPr="00F64714">
        <w:rPr>
          <w:rFonts w:ascii="Times New Roman" w:hAnsi="Times New Roman" w:cs="Times New Roman"/>
          <w:b/>
          <w:sz w:val="24"/>
          <w:szCs w:val="24"/>
        </w:rPr>
        <w:t>.</w:t>
      </w:r>
      <w:r w:rsidR="0054662B">
        <w:rPr>
          <w:rFonts w:ascii="Times New Roman" w:hAnsi="Times New Roman" w:cs="Times New Roman"/>
          <w:sz w:val="24"/>
          <w:szCs w:val="24"/>
        </w:rPr>
        <w:t xml:space="preserve">  </w:t>
      </w:r>
      <w:r w:rsidR="0054662B" w:rsidRPr="0054662B">
        <w:rPr>
          <w:rFonts w:ascii="Times New Roman" w:hAnsi="Times New Roman" w:cs="Times New Roman"/>
          <w:sz w:val="24"/>
          <w:szCs w:val="24"/>
        </w:rPr>
        <w:t>While it is true in the context of modern portfolio theory that limiting the pool of available investments</w:t>
      </w:r>
      <w:r>
        <w:rPr>
          <w:rFonts w:ascii="Times New Roman" w:hAnsi="Times New Roman" w:cs="Times New Roman"/>
          <w:sz w:val="24"/>
          <w:szCs w:val="24"/>
        </w:rPr>
        <w:t xml:space="preserve"> </w:t>
      </w:r>
      <w:r w:rsidR="0054662B" w:rsidRPr="0054662B">
        <w:rPr>
          <w:rFonts w:ascii="Times New Roman" w:hAnsi="Times New Roman" w:cs="Times New Roman"/>
          <w:sz w:val="24"/>
          <w:szCs w:val="24"/>
        </w:rPr>
        <w:t xml:space="preserve">cannot result in an </w:t>
      </w:r>
      <w:r w:rsidR="0054662B" w:rsidRPr="00F14B70">
        <w:rPr>
          <w:rFonts w:ascii="Times New Roman" w:hAnsi="Times New Roman" w:cs="Times New Roman"/>
          <w:i/>
          <w:sz w:val="24"/>
          <w:szCs w:val="24"/>
        </w:rPr>
        <w:t>ex post</w:t>
      </w:r>
      <w:r w:rsidR="0054662B" w:rsidRPr="0054662B">
        <w:rPr>
          <w:rFonts w:ascii="Times New Roman" w:hAnsi="Times New Roman" w:cs="Times New Roman"/>
          <w:sz w:val="24"/>
          <w:szCs w:val="24"/>
        </w:rPr>
        <w:t xml:space="preserve"> (based on realized returns) efficient frontier that provides a lower risk/return ratio than the market portfolio, actual investment portfolios are formed o</w:t>
      </w:r>
      <w:r w:rsidR="00F14B70">
        <w:rPr>
          <w:rFonts w:ascii="Times New Roman" w:hAnsi="Times New Roman" w:cs="Times New Roman"/>
          <w:sz w:val="24"/>
          <w:szCs w:val="24"/>
        </w:rPr>
        <w:t xml:space="preserve">n </w:t>
      </w:r>
      <w:r w:rsidR="00F14B70" w:rsidRPr="00F14B70">
        <w:rPr>
          <w:rFonts w:ascii="Times New Roman" w:hAnsi="Times New Roman" w:cs="Times New Roman"/>
          <w:i/>
          <w:sz w:val="24"/>
          <w:szCs w:val="24"/>
        </w:rPr>
        <w:t>an ex ante</w:t>
      </w:r>
      <w:r w:rsidR="00F14B70">
        <w:rPr>
          <w:rFonts w:ascii="Times New Roman" w:hAnsi="Times New Roman" w:cs="Times New Roman"/>
          <w:sz w:val="24"/>
          <w:szCs w:val="24"/>
        </w:rPr>
        <w:t xml:space="preserve"> (based on expected returns) basis</w:t>
      </w:r>
      <w:r w:rsidR="00C12868">
        <w:rPr>
          <w:rFonts w:ascii="Times New Roman" w:hAnsi="Times New Roman" w:cs="Times New Roman"/>
          <w:sz w:val="24"/>
          <w:szCs w:val="24"/>
        </w:rPr>
        <w:t>.</w:t>
      </w:r>
    </w:p>
    <w:p w:rsidR="00013DCC" w:rsidRPr="00013DCC" w:rsidRDefault="00013DCC" w:rsidP="0054662B">
      <w:pPr>
        <w:rPr>
          <w:rFonts w:ascii="Times New Roman" w:hAnsi="Times New Roman" w:cs="Times New Roman"/>
          <w:sz w:val="24"/>
          <w:szCs w:val="24"/>
        </w:rPr>
      </w:pPr>
      <w:r w:rsidRPr="00013DCC">
        <w:rPr>
          <w:rFonts w:ascii="Times New Roman" w:hAnsi="Times New Roman" w:cs="Times New Roman"/>
          <w:b/>
          <w:sz w:val="24"/>
          <w:szCs w:val="24"/>
        </w:rPr>
        <w:t>2.</w:t>
      </w:r>
      <w:r>
        <w:rPr>
          <w:rFonts w:ascii="Times New Roman" w:hAnsi="Times New Roman" w:cs="Times New Roman"/>
          <w:sz w:val="24"/>
          <w:szCs w:val="24"/>
        </w:rPr>
        <w:t xml:space="preserve">  </w:t>
      </w:r>
      <w:r w:rsidR="0054662B" w:rsidRPr="00013DCC">
        <w:rPr>
          <w:rFonts w:ascii="Times New Roman" w:hAnsi="Times New Roman" w:cs="Times New Roman"/>
          <w:sz w:val="24"/>
          <w:szCs w:val="24"/>
        </w:rPr>
        <w:t xml:space="preserve">There are </w:t>
      </w:r>
      <w:r w:rsidRPr="00013DCC">
        <w:rPr>
          <w:rFonts w:ascii="Times New Roman" w:hAnsi="Times New Roman" w:cs="Times New Roman"/>
          <w:sz w:val="24"/>
          <w:szCs w:val="24"/>
        </w:rPr>
        <w:t xml:space="preserve">individual investors and </w:t>
      </w:r>
      <w:r w:rsidR="0054662B" w:rsidRPr="00013DCC">
        <w:rPr>
          <w:rFonts w:ascii="Times New Roman" w:hAnsi="Times New Roman" w:cs="Times New Roman"/>
          <w:sz w:val="24"/>
          <w:szCs w:val="24"/>
        </w:rPr>
        <w:t xml:space="preserve">portfolio managers who take an </w:t>
      </w:r>
      <w:r w:rsidR="0054662B" w:rsidRPr="00013DCC">
        <w:rPr>
          <w:rFonts w:ascii="Times New Roman" w:hAnsi="Times New Roman" w:cs="Times New Roman"/>
          <w:i/>
          <w:sz w:val="24"/>
          <w:szCs w:val="24"/>
        </w:rPr>
        <w:t xml:space="preserve">active </w:t>
      </w:r>
      <w:r w:rsidR="0054662B" w:rsidRPr="00013DCC">
        <w:rPr>
          <w:rFonts w:ascii="Times New Roman" w:hAnsi="Times New Roman" w:cs="Times New Roman"/>
          <w:sz w:val="24"/>
          <w:szCs w:val="24"/>
        </w:rPr>
        <w:t xml:space="preserve">approach to investing by constructing </w:t>
      </w:r>
      <w:r w:rsidRPr="00013DCC">
        <w:rPr>
          <w:rFonts w:ascii="Times New Roman" w:hAnsi="Times New Roman" w:cs="Times New Roman"/>
          <w:sz w:val="24"/>
          <w:szCs w:val="24"/>
        </w:rPr>
        <w:t>small-basket portfolios</w:t>
      </w:r>
      <w:r w:rsidR="0054662B" w:rsidRPr="00013DCC">
        <w:rPr>
          <w:rFonts w:ascii="Times New Roman" w:hAnsi="Times New Roman" w:cs="Times New Roman"/>
          <w:sz w:val="24"/>
          <w:szCs w:val="24"/>
        </w:rPr>
        <w:t xml:space="preserve">.  </w:t>
      </w:r>
    </w:p>
    <w:p w:rsidR="0054662B" w:rsidRPr="00013DCC" w:rsidRDefault="00013DCC" w:rsidP="0054662B">
      <w:pPr>
        <w:rPr>
          <w:rFonts w:ascii="Times New Roman" w:hAnsi="Times New Roman" w:cs="Times New Roman"/>
          <w:sz w:val="24"/>
          <w:szCs w:val="24"/>
        </w:rPr>
      </w:pPr>
      <w:r>
        <w:rPr>
          <w:rFonts w:ascii="Times New Roman" w:hAnsi="Times New Roman" w:cs="Times New Roman"/>
          <w:b/>
          <w:sz w:val="24"/>
          <w:szCs w:val="24"/>
        </w:rPr>
        <w:t xml:space="preserve">- </w:t>
      </w:r>
      <w:r w:rsidR="0054662B" w:rsidRPr="00013DCC">
        <w:rPr>
          <w:rFonts w:ascii="Times New Roman" w:hAnsi="Times New Roman" w:cs="Times New Roman"/>
          <w:b/>
          <w:sz w:val="24"/>
          <w:szCs w:val="24"/>
        </w:rPr>
        <w:t xml:space="preserve">J. Dowe Bynum, a co-portfolio manager of the Birmingham, Alabama-based Cook and </w:t>
      </w:r>
      <w:r w:rsidR="0054662B" w:rsidRPr="005738AD">
        <w:rPr>
          <w:rFonts w:ascii="Times New Roman" w:hAnsi="Times New Roman" w:cs="Times New Roman"/>
          <w:b/>
          <w:sz w:val="24"/>
          <w:szCs w:val="24"/>
        </w:rPr>
        <w:t xml:space="preserve">Bynum Fund (ticker: COBYX), and his partner Richard Cook, </w:t>
      </w:r>
      <w:r w:rsidR="0054662B" w:rsidRPr="00013DCC">
        <w:rPr>
          <w:rFonts w:ascii="Times New Roman" w:hAnsi="Times New Roman" w:cs="Times New Roman"/>
          <w:sz w:val="24"/>
          <w:szCs w:val="24"/>
        </w:rPr>
        <w:t xml:space="preserve">often hold </w:t>
      </w:r>
      <w:r w:rsidR="0054662B" w:rsidRPr="00013DCC">
        <w:rPr>
          <w:rFonts w:ascii="Times New Roman" w:hAnsi="Times New Roman" w:cs="Times New Roman"/>
          <w:b/>
          <w:sz w:val="24"/>
          <w:szCs w:val="24"/>
        </w:rPr>
        <w:t xml:space="preserve">fewer than 10 </w:t>
      </w:r>
      <w:r w:rsidR="0054662B" w:rsidRPr="00013DCC">
        <w:rPr>
          <w:rFonts w:ascii="Times New Roman" w:hAnsi="Times New Roman" w:cs="Times New Roman"/>
          <w:sz w:val="24"/>
          <w:szCs w:val="24"/>
        </w:rPr>
        <w:t>stocks at any given time and are willing to stake 20 percent or more of the portfolio on a single stock.</w:t>
      </w:r>
    </w:p>
    <w:p w:rsidR="00DC186C" w:rsidRDefault="00013DCC" w:rsidP="0054662B">
      <w:pPr>
        <w:rPr>
          <w:rFonts w:ascii="Times New Roman" w:hAnsi="Times New Roman" w:cs="Times New Roman"/>
          <w:b/>
          <w:sz w:val="24"/>
          <w:szCs w:val="24"/>
        </w:rPr>
      </w:pPr>
      <w:r>
        <w:rPr>
          <w:rFonts w:ascii="Times New Roman" w:hAnsi="Times New Roman" w:cs="Times New Roman"/>
          <w:b/>
          <w:sz w:val="24"/>
          <w:szCs w:val="24"/>
        </w:rPr>
        <w:t xml:space="preserve">- </w:t>
      </w:r>
      <w:r w:rsidR="0054662B" w:rsidRPr="005738AD">
        <w:rPr>
          <w:rFonts w:ascii="Times New Roman" w:hAnsi="Times New Roman" w:cs="Times New Roman"/>
          <w:b/>
          <w:sz w:val="24"/>
          <w:szCs w:val="24"/>
        </w:rPr>
        <w:t>Matthew Reiner of Wela Strategies</w:t>
      </w:r>
      <w:r>
        <w:rPr>
          <w:rFonts w:ascii="Times New Roman" w:hAnsi="Times New Roman" w:cs="Times New Roman"/>
          <w:sz w:val="24"/>
          <w:szCs w:val="24"/>
        </w:rPr>
        <w:t xml:space="preserve"> was quoted in Barron’s </w:t>
      </w:r>
      <w:r w:rsidR="0054662B" w:rsidRPr="0054662B">
        <w:rPr>
          <w:rFonts w:ascii="Times New Roman" w:hAnsi="Times New Roman" w:cs="Times New Roman"/>
          <w:sz w:val="24"/>
          <w:szCs w:val="24"/>
        </w:rPr>
        <w:t xml:space="preserve">as saying that in analyzing a fund for investment he </w:t>
      </w:r>
      <w:r w:rsidR="0054662B" w:rsidRPr="00013DCC">
        <w:rPr>
          <w:rFonts w:ascii="Times New Roman" w:hAnsi="Times New Roman" w:cs="Times New Roman"/>
          <w:b/>
          <w:sz w:val="24"/>
          <w:szCs w:val="24"/>
        </w:rPr>
        <w:t xml:space="preserve">wants to see the top 10 or 15 holdings (in any fund) </w:t>
      </w:r>
      <w:r>
        <w:rPr>
          <w:rFonts w:ascii="Times New Roman" w:hAnsi="Times New Roman" w:cs="Times New Roman"/>
          <w:sz w:val="24"/>
          <w:szCs w:val="24"/>
        </w:rPr>
        <w:t xml:space="preserve">- everything else he </w:t>
      </w:r>
      <w:r w:rsidR="0054662B" w:rsidRPr="0054662B">
        <w:rPr>
          <w:rFonts w:ascii="Times New Roman" w:hAnsi="Times New Roman" w:cs="Times New Roman"/>
          <w:sz w:val="24"/>
          <w:szCs w:val="24"/>
        </w:rPr>
        <w:t>call</w:t>
      </w:r>
      <w:r>
        <w:rPr>
          <w:rFonts w:ascii="Times New Roman" w:hAnsi="Times New Roman" w:cs="Times New Roman"/>
          <w:sz w:val="24"/>
          <w:szCs w:val="24"/>
        </w:rPr>
        <w:t>s contamination in terms of what drives performance.</w:t>
      </w:r>
    </w:p>
    <w:p w:rsidR="00013DCC" w:rsidRPr="000002F4" w:rsidRDefault="000002F4" w:rsidP="0054662B">
      <w:pPr>
        <w:rPr>
          <w:rFonts w:ascii="Times New Roman" w:hAnsi="Times New Roman" w:cs="Times New Roman"/>
          <w:sz w:val="24"/>
          <w:szCs w:val="24"/>
        </w:rPr>
      </w:pPr>
      <w:r>
        <w:rPr>
          <w:rFonts w:ascii="Times New Roman" w:hAnsi="Times New Roman" w:cs="Times New Roman"/>
          <w:b/>
          <w:sz w:val="24"/>
          <w:szCs w:val="24"/>
        </w:rPr>
        <w:t xml:space="preserve">3. </w:t>
      </w:r>
      <w:r w:rsidR="00E82D55">
        <w:rPr>
          <w:rFonts w:ascii="Times New Roman" w:hAnsi="Times New Roman" w:cs="Times New Roman"/>
          <w:sz w:val="24"/>
          <w:szCs w:val="24"/>
        </w:rPr>
        <w:t xml:space="preserve"> Some of </w:t>
      </w:r>
      <w:r w:rsidR="00E82D55" w:rsidRPr="00E82D55">
        <w:rPr>
          <w:rFonts w:ascii="Times New Roman" w:hAnsi="Times New Roman" w:cs="Times New Roman"/>
          <w:b/>
          <w:sz w:val="24"/>
          <w:szCs w:val="24"/>
        </w:rPr>
        <w:t>your</w:t>
      </w:r>
      <w:r w:rsidRPr="00E82D55">
        <w:rPr>
          <w:rFonts w:ascii="Times New Roman" w:hAnsi="Times New Roman" w:cs="Times New Roman"/>
          <w:b/>
          <w:sz w:val="24"/>
          <w:szCs w:val="24"/>
        </w:rPr>
        <w:t xml:space="preserve"> clients</w:t>
      </w:r>
      <w:r w:rsidRPr="000002F4">
        <w:rPr>
          <w:rFonts w:ascii="Times New Roman" w:hAnsi="Times New Roman" w:cs="Times New Roman"/>
          <w:sz w:val="24"/>
          <w:szCs w:val="24"/>
        </w:rPr>
        <w:t xml:space="preserve"> may want to hold a small number of individual stocks in their investment portfolios</w:t>
      </w:r>
      <w:r>
        <w:rPr>
          <w:rFonts w:ascii="Times New Roman" w:hAnsi="Times New Roman" w:cs="Times New Roman"/>
          <w:sz w:val="24"/>
          <w:szCs w:val="24"/>
        </w:rPr>
        <w:t xml:space="preserve"> in addition to mutual funds and ETFs.</w:t>
      </w:r>
    </w:p>
    <w:p w:rsidR="00DC186C" w:rsidRDefault="00DC186C" w:rsidP="0054662B">
      <w:pPr>
        <w:rPr>
          <w:rFonts w:ascii="Times New Roman" w:hAnsi="Times New Roman" w:cs="Times New Roman"/>
          <w:b/>
          <w:sz w:val="24"/>
          <w:szCs w:val="24"/>
        </w:rPr>
      </w:pPr>
      <w:r>
        <w:rPr>
          <w:rFonts w:ascii="Times New Roman" w:hAnsi="Times New Roman" w:cs="Times New Roman"/>
          <w:b/>
          <w:sz w:val="24"/>
          <w:szCs w:val="24"/>
        </w:rPr>
        <w:lastRenderedPageBreak/>
        <w:t>Why Focus on Low Volatility?</w:t>
      </w:r>
    </w:p>
    <w:p w:rsidR="00C12868" w:rsidRPr="00DC186C" w:rsidRDefault="00013DCC" w:rsidP="0054662B">
      <w:pPr>
        <w:rPr>
          <w:rFonts w:ascii="Times New Roman" w:hAnsi="Times New Roman" w:cs="Times New Roman"/>
          <w:b/>
          <w:i/>
          <w:sz w:val="24"/>
          <w:szCs w:val="24"/>
        </w:rPr>
      </w:pPr>
      <w:r>
        <w:rPr>
          <w:rFonts w:ascii="Times New Roman" w:hAnsi="Times New Roman" w:cs="Times New Roman"/>
          <w:b/>
          <w:sz w:val="24"/>
          <w:szCs w:val="24"/>
        </w:rPr>
        <w:t>1</w:t>
      </w:r>
      <w:r w:rsidR="0054662B" w:rsidRPr="00F64714">
        <w:rPr>
          <w:rFonts w:ascii="Times New Roman" w:hAnsi="Times New Roman" w:cs="Times New Roman"/>
          <w:b/>
          <w:sz w:val="24"/>
          <w:szCs w:val="24"/>
        </w:rPr>
        <w:t>.</w:t>
      </w:r>
      <w:r w:rsidR="0054662B">
        <w:rPr>
          <w:rFonts w:ascii="Times New Roman" w:hAnsi="Times New Roman" w:cs="Times New Roman"/>
          <w:sz w:val="24"/>
          <w:szCs w:val="24"/>
        </w:rPr>
        <w:t xml:space="preserve">  </w:t>
      </w:r>
      <w:r w:rsidR="0054662B" w:rsidRPr="00013DCC">
        <w:rPr>
          <w:rFonts w:ascii="Times New Roman" w:hAnsi="Times New Roman" w:cs="Times New Roman"/>
          <w:sz w:val="24"/>
          <w:szCs w:val="24"/>
        </w:rPr>
        <w:t xml:space="preserve">The historical performance of different asset classes over the long term is indeed consistent with the theory that higher risk is associated with higher returns. </w:t>
      </w:r>
      <w:r w:rsidR="0054662B" w:rsidRPr="0054662B">
        <w:rPr>
          <w:rFonts w:ascii="Times New Roman" w:hAnsi="Times New Roman" w:cs="Times New Roman"/>
          <w:sz w:val="24"/>
          <w:szCs w:val="24"/>
        </w:rPr>
        <w:t xml:space="preserve"> However, it appears that this principle does not always extend to actively managed portfolios</w:t>
      </w:r>
      <w:r>
        <w:rPr>
          <w:rFonts w:ascii="Times New Roman" w:hAnsi="Times New Roman" w:cs="Times New Roman"/>
          <w:sz w:val="24"/>
          <w:szCs w:val="24"/>
        </w:rPr>
        <w:t xml:space="preserve">.  Studies by </w:t>
      </w:r>
      <w:r w:rsidR="0054662B" w:rsidRPr="0054662B">
        <w:rPr>
          <w:rFonts w:ascii="Times New Roman" w:hAnsi="Times New Roman" w:cs="Times New Roman"/>
          <w:sz w:val="24"/>
          <w:szCs w:val="24"/>
        </w:rPr>
        <w:t>Clarke, de Silva and Thorley (2006), Blitz and Vliet (2007) and Banner, Papathana</w:t>
      </w:r>
      <w:r>
        <w:rPr>
          <w:rFonts w:ascii="Times New Roman" w:hAnsi="Times New Roman" w:cs="Times New Roman"/>
          <w:sz w:val="24"/>
          <w:szCs w:val="24"/>
        </w:rPr>
        <w:t xml:space="preserve">kos, and Whitman (2012) </w:t>
      </w:r>
      <w:r w:rsidR="0054662B" w:rsidRPr="005738AD">
        <w:rPr>
          <w:rFonts w:ascii="Times New Roman" w:hAnsi="Times New Roman" w:cs="Times New Roman"/>
          <w:b/>
          <w:sz w:val="24"/>
          <w:szCs w:val="24"/>
        </w:rPr>
        <w:t xml:space="preserve">indicate that actively managed low-volatility portfolios can outperform high-volatility portfolios.  Because this conflicts with traditional financial theory, it is usually referred to as the </w:t>
      </w:r>
      <w:r w:rsidR="0054662B" w:rsidRPr="005738AD">
        <w:rPr>
          <w:rFonts w:ascii="Times New Roman" w:hAnsi="Times New Roman" w:cs="Times New Roman"/>
          <w:b/>
          <w:i/>
          <w:sz w:val="24"/>
          <w:szCs w:val="24"/>
        </w:rPr>
        <w:t>“low-volatility anomaly.”</w:t>
      </w:r>
    </w:p>
    <w:p w:rsidR="00013DCC" w:rsidRPr="00013DCC" w:rsidRDefault="00013DCC" w:rsidP="0054662B">
      <w:pPr>
        <w:rPr>
          <w:rFonts w:ascii="Times New Roman" w:hAnsi="Times New Roman" w:cs="Times New Roman"/>
          <w:sz w:val="24"/>
          <w:szCs w:val="24"/>
        </w:rPr>
      </w:pPr>
      <w:r w:rsidRPr="00013DCC">
        <w:rPr>
          <w:rFonts w:ascii="Times New Roman" w:hAnsi="Times New Roman" w:cs="Times New Roman"/>
          <w:sz w:val="24"/>
          <w:szCs w:val="24"/>
        </w:rPr>
        <w:t xml:space="preserve">- </w:t>
      </w:r>
      <w:r w:rsidR="00E82D55">
        <w:rPr>
          <w:rFonts w:ascii="Times New Roman" w:hAnsi="Times New Roman" w:cs="Times New Roman"/>
          <w:sz w:val="24"/>
          <w:szCs w:val="24"/>
        </w:rPr>
        <w:t>The number of l</w:t>
      </w:r>
      <w:r w:rsidR="0054662B" w:rsidRPr="00013DCC">
        <w:rPr>
          <w:rFonts w:ascii="Times New Roman" w:hAnsi="Times New Roman" w:cs="Times New Roman"/>
          <w:sz w:val="24"/>
          <w:szCs w:val="24"/>
        </w:rPr>
        <w:t xml:space="preserve">ow expected volatility </w:t>
      </w:r>
      <w:r w:rsidR="00221EF3" w:rsidRPr="00013DCC">
        <w:rPr>
          <w:rFonts w:ascii="Times New Roman" w:hAnsi="Times New Roman" w:cs="Times New Roman"/>
          <w:sz w:val="24"/>
          <w:szCs w:val="24"/>
        </w:rPr>
        <w:t xml:space="preserve">(minimum expected variance) </w:t>
      </w:r>
      <w:r w:rsidR="0054662B" w:rsidRPr="00013DCC">
        <w:rPr>
          <w:rFonts w:ascii="Times New Roman" w:hAnsi="Times New Roman" w:cs="Times New Roman"/>
          <w:sz w:val="24"/>
          <w:szCs w:val="24"/>
        </w:rPr>
        <w:t xml:space="preserve">equity products </w:t>
      </w:r>
      <w:r w:rsidR="00E82D55">
        <w:rPr>
          <w:rFonts w:ascii="Times New Roman" w:hAnsi="Times New Roman" w:cs="Times New Roman"/>
          <w:sz w:val="24"/>
          <w:szCs w:val="24"/>
        </w:rPr>
        <w:t xml:space="preserve">are growing and </w:t>
      </w:r>
      <w:r w:rsidR="0054662B" w:rsidRPr="00013DCC">
        <w:rPr>
          <w:rFonts w:ascii="Times New Roman" w:hAnsi="Times New Roman" w:cs="Times New Roman"/>
          <w:sz w:val="24"/>
          <w:szCs w:val="24"/>
        </w:rPr>
        <w:t xml:space="preserve">generally fall into one of two categories: </w:t>
      </w:r>
    </w:p>
    <w:p w:rsidR="000002F4" w:rsidRDefault="00E82D55" w:rsidP="0054662B">
      <w:pPr>
        <w:rPr>
          <w:rFonts w:ascii="Times New Roman" w:hAnsi="Times New Roman" w:cs="Times New Roman"/>
          <w:b/>
          <w:sz w:val="24"/>
          <w:szCs w:val="24"/>
        </w:rPr>
      </w:pPr>
      <w:r>
        <w:rPr>
          <w:rFonts w:ascii="Times New Roman" w:hAnsi="Times New Roman" w:cs="Times New Roman"/>
          <w:b/>
          <w:sz w:val="24"/>
          <w:szCs w:val="24"/>
        </w:rPr>
        <w:t xml:space="preserve">Category </w:t>
      </w:r>
      <w:r w:rsidR="00013DCC">
        <w:rPr>
          <w:rFonts w:ascii="Times New Roman" w:hAnsi="Times New Roman" w:cs="Times New Roman"/>
          <w:b/>
          <w:sz w:val="24"/>
          <w:szCs w:val="24"/>
        </w:rPr>
        <w:t>I</w:t>
      </w:r>
      <w:r>
        <w:rPr>
          <w:rFonts w:ascii="Times New Roman" w:hAnsi="Times New Roman" w:cs="Times New Roman"/>
          <w:b/>
          <w:sz w:val="24"/>
          <w:szCs w:val="24"/>
        </w:rPr>
        <w:t xml:space="preserve"> </w:t>
      </w:r>
      <w:r w:rsidR="000002F4">
        <w:rPr>
          <w:rFonts w:ascii="Times New Roman" w:hAnsi="Times New Roman" w:cs="Times New Roman"/>
          <w:b/>
          <w:sz w:val="24"/>
          <w:szCs w:val="24"/>
        </w:rPr>
        <w:t xml:space="preserve">portfolios </w:t>
      </w:r>
      <w:r>
        <w:rPr>
          <w:rFonts w:ascii="Times New Roman" w:hAnsi="Times New Roman" w:cs="Times New Roman"/>
          <w:b/>
          <w:sz w:val="24"/>
          <w:szCs w:val="24"/>
        </w:rPr>
        <w:t xml:space="preserve">are </w:t>
      </w:r>
      <w:r w:rsidR="0054662B" w:rsidRPr="005738AD">
        <w:rPr>
          <w:rFonts w:ascii="Times New Roman" w:hAnsi="Times New Roman" w:cs="Times New Roman"/>
          <w:b/>
          <w:sz w:val="24"/>
          <w:szCs w:val="24"/>
        </w:rPr>
        <w:t>composed of stocks that individually demonstrat</w:t>
      </w:r>
      <w:r w:rsidR="000002F4">
        <w:rPr>
          <w:rFonts w:ascii="Times New Roman" w:hAnsi="Times New Roman" w:cs="Times New Roman"/>
          <w:b/>
          <w:sz w:val="24"/>
          <w:szCs w:val="24"/>
        </w:rPr>
        <w:t>e historical low-volatility</w:t>
      </w:r>
    </w:p>
    <w:p w:rsidR="00013DCC" w:rsidRPr="000002F4" w:rsidRDefault="00E82D55" w:rsidP="0054662B">
      <w:pPr>
        <w:rPr>
          <w:rFonts w:ascii="Times New Roman" w:hAnsi="Times New Roman" w:cs="Times New Roman"/>
          <w:b/>
          <w:sz w:val="24"/>
          <w:szCs w:val="24"/>
        </w:rPr>
      </w:pPr>
      <w:r>
        <w:rPr>
          <w:rFonts w:ascii="Times New Roman" w:hAnsi="Times New Roman" w:cs="Times New Roman"/>
          <w:b/>
          <w:sz w:val="24"/>
          <w:szCs w:val="24"/>
        </w:rPr>
        <w:t xml:space="preserve">Category </w:t>
      </w:r>
      <w:r w:rsidR="00013DCC">
        <w:rPr>
          <w:rFonts w:ascii="Times New Roman" w:hAnsi="Times New Roman" w:cs="Times New Roman"/>
          <w:b/>
          <w:sz w:val="24"/>
          <w:szCs w:val="24"/>
        </w:rPr>
        <w:t>II</w:t>
      </w:r>
      <w:r>
        <w:rPr>
          <w:rFonts w:ascii="Times New Roman" w:hAnsi="Times New Roman" w:cs="Times New Roman"/>
          <w:b/>
          <w:sz w:val="24"/>
          <w:szCs w:val="24"/>
        </w:rPr>
        <w:t xml:space="preserve"> </w:t>
      </w:r>
      <w:r w:rsidR="000002F4">
        <w:rPr>
          <w:rFonts w:ascii="Times New Roman" w:hAnsi="Times New Roman" w:cs="Times New Roman"/>
          <w:b/>
          <w:sz w:val="24"/>
          <w:szCs w:val="24"/>
        </w:rPr>
        <w:t xml:space="preserve">portfolios </w:t>
      </w:r>
      <w:r>
        <w:rPr>
          <w:rFonts w:ascii="Times New Roman" w:hAnsi="Times New Roman" w:cs="Times New Roman"/>
          <w:b/>
          <w:sz w:val="24"/>
          <w:szCs w:val="24"/>
        </w:rPr>
        <w:t xml:space="preserve">are </w:t>
      </w:r>
      <w:r w:rsidR="000002F4">
        <w:rPr>
          <w:rFonts w:ascii="Times New Roman" w:hAnsi="Times New Roman" w:cs="Times New Roman"/>
          <w:b/>
          <w:sz w:val="24"/>
          <w:szCs w:val="24"/>
        </w:rPr>
        <w:t xml:space="preserve">composed of stocks </w:t>
      </w:r>
      <w:r w:rsidR="0054662B" w:rsidRPr="005738AD">
        <w:rPr>
          <w:rFonts w:ascii="Times New Roman" w:hAnsi="Times New Roman" w:cs="Times New Roman"/>
          <w:b/>
          <w:sz w:val="24"/>
          <w:szCs w:val="24"/>
        </w:rPr>
        <w:t xml:space="preserve">that are expected to display low volatility and/or enhanced risk/return performance based on their expected return and pairwise covariance </w:t>
      </w:r>
      <w:r w:rsidR="0054662B" w:rsidRPr="000002F4">
        <w:rPr>
          <w:rFonts w:ascii="Times New Roman" w:hAnsi="Times New Roman" w:cs="Times New Roman"/>
          <w:b/>
          <w:sz w:val="24"/>
          <w:szCs w:val="24"/>
        </w:rPr>
        <w:t>properties</w:t>
      </w:r>
      <w:r w:rsidR="00C12868" w:rsidRPr="000002F4">
        <w:rPr>
          <w:rFonts w:ascii="Times New Roman" w:hAnsi="Times New Roman" w:cs="Times New Roman"/>
          <w:b/>
          <w:sz w:val="24"/>
          <w:szCs w:val="24"/>
        </w:rPr>
        <w:t xml:space="preserve"> </w:t>
      </w:r>
      <w:r w:rsidR="000002F4" w:rsidRPr="000002F4">
        <w:rPr>
          <w:rFonts w:ascii="Times New Roman" w:hAnsi="Times New Roman" w:cs="Times New Roman"/>
          <w:b/>
          <w:sz w:val="24"/>
          <w:szCs w:val="24"/>
        </w:rPr>
        <w:t>(constructed using mean variance optimization – MVO)</w:t>
      </w:r>
    </w:p>
    <w:p w:rsidR="00E82D55" w:rsidRDefault="00013DCC" w:rsidP="0054662B">
      <w:pPr>
        <w:rPr>
          <w:rFonts w:ascii="Times New Roman" w:hAnsi="Times New Roman" w:cs="Times New Roman"/>
          <w:sz w:val="24"/>
          <w:szCs w:val="24"/>
        </w:rPr>
      </w:pPr>
      <w:r>
        <w:rPr>
          <w:rFonts w:ascii="Times New Roman" w:hAnsi="Times New Roman" w:cs="Times New Roman"/>
          <w:sz w:val="24"/>
          <w:szCs w:val="24"/>
        </w:rPr>
        <w:t xml:space="preserve">- </w:t>
      </w:r>
      <w:r w:rsidR="0054662B" w:rsidRPr="005738AD">
        <w:rPr>
          <w:rFonts w:ascii="Times New Roman" w:hAnsi="Times New Roman" w:cs="Times New Roman"/>
          <w:sz w:val="24"/>
          <w:szCs w:val="24"/>
        </w:rPr>
        <w:t>T</w:t>
      </w:r>
      <w:r w:rsidR="0054662B" w:rsidRPr="0054662B">
        <w:rPr>
          <w:rFonts w:ascii="Times New Roman" w:hAnsi="Times New Roman" w:cs="Times New Roman"/>
          <w:sz w:val="24"/>
          <w:szCs w:val="24"/>
        </w:rPr>
        <w:t xml:space="preserve">he </w:t>
      </w:r>
      <w:r w:rsidR="0054662B" w:rsidRPr="005738AD">
        <w:rPr>
          <w:rFonts w:ascii="Times New Roman" w:hAnsi="Times New Roman" w:cs="Times New Roman"/>
          <w:b/>
          <w:sz w:val="24"/>
          <w:szCs w:val="24"/>
        </w:rPr>
        <w:t>S&amp;P 500 Low Volatility Index</w:t>
      </w:r>
      <w:r w:rsidR="0054662B" w:rsidRPr="0054662B">
        <w:rPr>
          <w:rFonts w:ascii="Times New Roman" w:hAnsi="Times New Roman" w:cs="Times New Roman"/>
          <w:sz w:val="24"/>
          <w:szCs w:val="24"/>
        </w:rPr>
        <w:t xml:space="preserve"> is an example of a benchmark that tracks the hypothetical v</w:t>
      </w:r>
      <w:r w:rsidR="00E82D55">
        <w:rPr>
          <w:rFonts w:ascii="Times New Roman" w:hAnsi="Times New Roman" w:cs="Times New Roman"/>
          <w:sz w:val="24"/>
          <w:szCs w:val="24"/>
        </w:rPr>
        <w:t>alue of a portfolio using the</w:t>
      </w:r>
      <w:r>
        <w:rPr>
          <w:rFonts w:ascii="Times New Roman" w:hAnsi="Times New Roman" w:cs="Times New Roman"/>
          <w:sz w:val="24"/>
          <w:szCs w:val="24"/>
        </w:rPr>
        <w:t xml:space="preserve"> </w:t>
      </w:r>
      <w:r w:rsidRPr="00013DCC">
        <w:rPr>
          <w:rFonts w:ascii="Times New Roman" w:hAnsi="Times New Roman" w:cs="Times New Roman"/>
          <w:b/>
          <w:sz w:val="24"/>
          <w:szCs w:val="24"/>
        </w:rPr>
        <w:t>Category I</w:t>
      </w:r>
      <w:r w:rsidR="00E82D55">
        <w:rPr>
          <w:rFonts w:ascii="Times New Roman" w:hAnsi="Times New Roman" w:cs="Times New Roman"/>
          <w:b/>
          <w:sz w:val="24"/>
          <w:szCs w:val="24"/>
        </w:rPr>
        <w:t xml:space="preserve"> strategy</w:t>
      </w:r>
      <w:r w:rsidR="0054662B" w:rsidRPr="0054662B">
        <w:rPr>
          <w:rFonts w:ascii="Times New Roman" w:hAnsi="Times New Roman" w:cs="Times New Roman"/>
          <w:sz w:val="24"/>
          <w:szCs w:val="24"/>
        </w:rPr>
        <w:t xml:space="preserve">.  On the retail side, </w:t>
      </w:r>
      <w:r w:rsidR="0054662B" w:rsidRPr="000002F4">
        <w:rPr>
          <w:rFonts w:ascii="Times New Roman" w:hAnsi="Times New Roman" w:cs="Times New Roman"/>
          <w:b/>
          <w:sz w:val="24"/>
          <w:szCs w:val="24"/>
        </w:rPr>
        <w:t xml:space="preserve">Invesco PowerShares offers a low-volatility ETF (SPLV) </w:t>
      </w:r>
      <w:r w:rsidR="0054662B" w:rsidRPr="0054662B">
        <w:rPr>
          <w:rFonts w:ascii="Times New Roman" w:hAnsi="Times New Roman" w:cs="Times New Roman"/>
          <w:sz w:val="24"/>
          <w:szCs w:val="24"/>
        </w:rPr>
        <w:t>designed to replicate the S&amp;P 500 Low Volatility Index.</w:t>
      </w:r>
      <w:r w:rsidR="000002F4">
        <w:rPr>
          <w:rFonts w:ascii="Times New Roman" w:hAnsi="Times New Roman" w:cs="Times New Roman"/>
          <w:sz w:val="24"/>
          <w:szCs w:val="24"/>
        </w:rPr>
        <w:t xml:space="preserve">  </w:t>
      </w:r>
    </w:p>
    <w:p w:rsidR="0054662B" w:rsidRDefault="00E82D55" w:rsidP="004163DC">
      <w:pPr>
        <w:rPr>
          <w:rFonts w:ascii="Times New Roman" w:hAnsi="Times New Roman" w:cs="Times New Roman"/>
          <w:sz w:val="24"/>
          <w:szCs w:val="24"/>
        </w:rPr>
      </w:pPr>
      <w:r>
        <w:rPr>
          <w:rFonts w:ascii="Times New Roman" w:hAnsi="Times New Roman" w:cs="Times New Roman"/>
          <w:sz w:val="24"/>
          <w:szCs w:val="24"/>
        </w:rPr>
        <w:t xml:space="preserve">-  </w:t>
      </w:r>
      <w:r w:rsidRPr="00E82D55">
        <w:rPr>
          <w:rFonts w:ascii="Times New Roman" w:hAnsi="Times New Roman" w:cs="Times New Roman"/>
          <w:sz w:val="24"/>
          <w:szCs w:val="24"/>
        </w:rPr>
        <w:t xml:space="preserve">The </w:t>
      </w:r>
      <w:r w:rsidRPr="00E82D55">
        <w:rPr>
          <w:rFonts w:ascii="Times New Roman" w:hAnsi="Times New Roman" w:cs="Times New Roman"/>
          <w:b/>
          <w:sz w:val="24"/>
          <w:szCs w:val="24"/>
        </w:rPr>
        <w:t>MSCI’s M</w:t>
      </w:r>
      <w:r>
        <w:rPr>
          <w:rFonts w:ascii="Times New Roman" w:hAnsi="Times New Roman" w:cs="Times New Roman"/>
          <w:b/>
          <w:sz w:val="24"/>
          <w:szCs w:val="24"/>
        </w:rPr>
        <w:t>inimum Volatility Indexes are</w:t>
      </w:r>
      <w:r w:rsidRPr="00E82D55">
        <w:rPr>
          <w:rFonts w:ascii="Times New Roman" w:hAnsi="Times New Roman" w:cs="Times New Roman"/>
          <w:b/>
          <w:sz w:val="24"/>
          <w:szCs w:val="24"/>
        </w:rPr>
        <w:t xml:space="preserve"> example</w:t>
      </w:r>
      <w:r>
        <w:rPr>
          <w:rFonts w:ascii="Times New Roman" w:hAnsi="Times New Roman" w:cs="Times New Roman"/>
          <w:b/>
          <w:sz w:val="24"/>
          <w:szCs w:val="24"/>
        </w:rPr>
        <w:t>s</w:t>
      </w:r>
      <w:r w:rsidRPr="00E82D55">
        <w:rPr>
          <w:rFonts w:ascii="Times New Roman" w:hAnsi="Times New Roman" w:cs="Times New Roman"/>
          <w:b/>
          <w:sz w:val="24"/>
          <w:szCs w:val="24"/>
        </w:rPr>
        <w:t xml:space="preserve"> of </w:t>
      </w:r>
      <w:r>
        <w:rPr>
          <w:rFonts w:ascii="Times New Roman" w:hAnsi="Times New Roman" w:cs="Times New Roman"/>
          <w:b/>
          <w:sz w:val="24"/>
          <w:szCs w:val="24"/>
        </w:rPr>
        <w:t xml:space="preserve">portfolios is Category II that use the MVO methodology.  </w:t>
      </w:r>
      <w:r w:rsidR="00DC186C" w:rsidRPr="00E82D55">
        <w:rPr>
          <w:rFonts w:ascii="Times New Roman" w:hAnsi="Times New Roman" w:cs="Times New Roman"/>
          <w:b/>
          <w:sz w:val="24"/>
          <w:szCs w:val="24"/>
        </w:rPr>
        <w:t>IShares</w:t>
      </w:r>
      <w:r w:rsidR="00DC186C" w:rsidRPr="00DC186C">
        <w:rPr>
          <w:rFonts w:ascii="Times New Roman" w:hAnsi="Times New Roman" w:cs="Times New Roman"/>
          <w:sz w:val="24"/>
          <w:szCs w:val="24"/>
        </w:rPr>
        <w:t xml:space="preserve"> is bringing to NYSE Arca three exchange-traded funds catering </w:t>
      </w:r>
      <w:r>
        <w:rPr>
          <w:rFonts w:ascii="Times New Roman" w:hAnsi="Times New Roman" w:cs="Times New Roman"/>
          <w:sz w:val="24"/>
          <w:szCs w:val="24"/>
        </w:rPr>
        <w:t xml:space="preserve">to investors who want to mimic the </w:t>
      </w:r>
      <w:r>
        <w:rPr>
          <w:rFonts w:ascii="Times New Roman" w:hAnsi="Times New Roman" w:cs="Times New Roman"/>
          <w:b/>
          <w:sz w:val="24"/>
          <w:szCs w:val="24"/>
        </w:rPr>
        <w:t>MSCI MVO methodology</w:t>
      </w:r>
      <w:r w:rsidR="00DC186C" w:rsidRPr="00DC186C">
        <w:rPr>
          <w:rFonts w:ascii="Times New Roman" w:hAnsi="Times New Roman" w:cs="Times New Roman"/>
          <w:sz w:val="24"/>
          <w:szCs w:val="24"/>
        </w:rPr>
        <w:t xml:space="preserve">. The </w:t>
      </w:r>
      <w:r w:rsidR="00DC186C" w:rsidRPr="00E82D55">
        <w:rPr>
          <w:rFonts w:ascii="Times New Roman" w:hAnsi="Times New Roman" w:cs="Times New Roman"/>
          <w:b/>
          <w:sz w:val="24"/>
          <w:szCs w:val="24"/>
        </w:rPr>
        <w:t>iShares</w:t>
      </w:r>
      <w:r w:rsidR="00DC186C" w:rsidRPr="000002F4">
        <w:rPr>
          <w:rFonts w:ascii="Times New Roman" w:hAnsi="Times New Roman" w:cs="Times New Roman"/>
          <w:b/>
          <w:sz w:val="24"/>
          <w:szCs w:val="24"/>
        </w:rPr>
        <w:t xml:space="preserve"> MSCI Japan Minimum Volatility ETF</w:t>
      </w:r>
      <w:r w:rsidR="00DC186C" w:rsidRPr="00DC186C">
        <w:rPr>
          <w:rFonts w:ascii="Times New Roman" w:hAnsi="Times New Roman" w:cs="Times New Roman"/>
          <w:sz w:val="24"/>
          <w:szCs w:val="24"/>
        </w:rPr>
        <w:t xml:space="preserve">, the </w:t>
      </w:r>
      <w:r w:rsidR="00DC186C" w:rsidRPr="00E82D55">
        <w:rPr>
          <w:rFonts w:ascii="Times New Roman" w:hAnsi="Times New Roman" w:cs="Times New Roman"/>
          <w:b/>
          <w:sz w:val="24"/>
          <w:szCs w:val="24"/>
        </w:rPr>
        <w:t xml:space="preserve">iShares </w:t>
      </w:r>
      <w:r w:rsidR="00DC186C" w:rsidRPr="000002F4">
        <w:rPr>
          <w:rFonts w:ascii="Times New Roman" w:hAnsi="Times New Roman" w:cs="Times New Roman"/>
          <w:b/>
          <w:sz w:val="24"/>
          <w:szCs w:val="24"/>
        </w:rPr>
        <w:t xml:space="preserve">MSCI Europe Minimum Volatility ETF </w:t>
      </w:r>
      <w:r w:rsidR="00DC186C" w:rsidRPr="00DC186C">
        <w:rPr>
          <w:rFonts w:ascii="Times New Roman" w:hAnsi="Times New Roman" w:cs="Times New Roman"/>
          <w:sz w:val="24"/>
          <w:szCs w:val="24"/>
        </w:rPr>
        <w:t xml:space="preserve">and the </w:t>
      </w:r>
      <w:r w:rsidR="00DC186C" w:rsidRPr="00E82D55">
        <w:rPr>
          <w:rFonts w:ascii="Times New Roman" w:hAnsi="Times New Roman" w:cs="Times New Roman"/>
          <w:b/>
          <w:sz w:val="24"/>
          <w:szCs w:val="24"/>
        </w:rPr>
        <w:t xml:space="preserve">iShares </w:t>
      </w:r>
      <w:r w:rsidR="00DC186C" w:rsidRPr="000002F4">
        <w:rPr>
          <w:rFonts w:ascii="Times New Roman" w:hAnsi="Times New Roman" w:cs="Times New Roman"/>
          <w:b/>
          <w:sz w:val="24"/>
          <w:szCs w:val="24"/>
        </w:rPr>
        <w:t xml:space="preserve">MSCI Asia ex-Japan Minimum Volatility ETF </w:t>
      </w:r>
      <w:r w:rsidR="00DC186C" w:rsidRPr="00DC186C">
        <w:rPr>
          <w:rFonts w:ascii="Times New Roman" w:hAnsi="Times New Roman" w:cs="Times New Roman"/>
          <w:sz w:val="24"/>
          <w:szCs w:val="24"/>
        </w:rPr>
        <w:t>seek to buy equity securities with characteristics that give them less volatility co</w:t>
      </w:r>
      <w:r w:rsidR="000002F4">
        <w:rPr>
          <w:rFonts w:ascii="Times New Roman" w:hAnsi="Times New Roman" w:cs="Times New Roman"/>
          <w:sz w:val="24"/>
          <w:szCs w:val="24"/>
        </w:rPr>
        <w:t>mpared with the broader market.</w:t>
      </w:r>
      <w:r>
        <w:rPr>
          <w:rFonts w:ascii="Times New Roman" w:hAnsi="Times New Roman" w:cs="Times New Roman"/>
          <w:sz w:val="24"/>
          <w:szCs w:val="24"/>
        </w:rPr>
        <w:t xml:space="preserve">  </w:t>
      </w:r>
    </w:p>
    <w:p w:rsidR="00DC186C" w:rsidRDefault="000002F4" w:rsidP="00DC186C">
      <w:pPr>
        <w:rPr>
          <w:rFonts w:ascii="Times New Roman" w:hAnsi="Times New Roman" w:cs="Times New Roman"/>
          <w:sz w:val="24"/>
          <w:szCs w:val="24"/>
        </w:rPr>
      </w:pPr>
      <w:r w:rsidRPr="000002F4">
        <w:rPr>
          <w:rFonts w:ascii="Times New Roman" w:hAnsi="Times New Roman" w:cs="Times New Roman"/>
          <w:b/>
          <w:sz w:val="24"/>
          <w:szCs w:val="24"/>
        </w:rPr>
        <w:t>2.</w:t>
      </w:r>
      <w:r>
        <w:rPr>
          <w:rFonts w:ascii="Times New Roman" w:hAnsi="Times New Roman" w:cs="Times New Roman"/>
          <w:sz w:val="24"/>
          <w:szCs w:val="24"/>
        </w:rPr>
        <w:t xml:space="preserve"> A low-volatility strategy</w:t>
      </w:r>
      <w:r w:rsidR="00E82D55">
        <w:rPr>
          <w:rFonts w:ascii="Times New Roman" w:hAnsi="Times New Roman" w:cs="Times New Roman"/>
          <w:sz w:val="24"/>
          <w:szCs w:val="24"/>
        </w:rPr>
        <w:t xml:space="preserve"> may be appropriate for some of </w:t>
      </w:r>
      <w:r w:rsidR="00E82D55" w:rsidRPr="00E82D55">
        <w:rPr>
          <w:rFonts w:ascii="Times New Roman" w:hAnsi="Times New Roman" w:cs="Times New Roman"/>
          <w:b/>
          <w:sz w:val="24"/>
          <w:szCs w:val="24"/>
        </w:rPr>
        <w:t xml:space="preserve">your </w:t>
      </w:r>
      <w:r w:rsidRPr="00E82D55">
        <w:rPr>
          <w:rFonts w:ascii="Times New Roman" w:hAnsi="Times New Roman" w:cs="Times New Roman"/>
          <w:b/>
          <w:sz w:val="24"/>
          <w:szCs w:val="24"/>
        </w:rPr>
        <w:t>clients</w:t>
      </w:r>
      <w:r>
        <w:rPr>
          <w:rFonts w:ascii="Times New Roman" w:hAnsi="Times New Roman" w:cs="Times New Roman"/>
          <w:sz w:val="24"/>
          <w:szCs w:val="24"/>
        </w:rPr>
        <w:t>.</w:t>
      </w:r>
    </w:p>
    <w:p w:rsidR="000002F4" w:rsidRDefault="000002F4" w:rsidP="00DC186C">
      <w:pPr>
        <w:rPr>
          <w:rFonts w:ascii="Times New Roman" w:hAnsi="Times New Roman" w:cs="Times New Roman"/>
          <w:sz w:val="24"/>
          <w:szCs w:val="24"/>
        </w:rPr>
      </w:pPr>
    </w:p>
    <w:p w:rsidR="000002F4" w:rsidRDefault="000002F4" w:rsidP="00DC186C">
      <w:pPr>
        <w:rPr>
          <w:rFonts w:ascii="Times New Roman" w:hAnsi="Times New Roman" w:cs="Times New Roman"/>
          <w:sz w:val="24"/>
          <w:szCs w:val="24"/>
        </w:rPr>
      </w:pPr>
    </w:p>
    <w:p w:rsidR="000002F4" w:rsidRDefault="000002F4" w:rsidP="00DC186C">
      <w:pPr>
        <w:rPr>
          <w:rFonts w:ascii="Times New Roman" w:hAnsi="Times New Roman" w:cs="Times New Roman"/>
          <w:sz w:val="24"/>
          <w:szCs w:val="24"/>
        </w:rPr>
      </w:pPr>
    </w:p>
    <w:p w:rsidR="000002F4" w:rsidRDefault="000002F4" w:rsidP="00DC186C">
      <w:pPr>
        <w:rPr>
          <w:rFonts w:ascii="Times New Roman" w:hAnsi="Times New Roman" w:cs="Times New Roman"/>
          <w:sz w:val="24"/>
          <w:szCs w:val="24"/>
        </w:rPr>
      </w:pPr>
    </w:p>
    <w:p w:rsidR="000002F4" w:rsidRDefault="000002F4" w:rsidP="00DC186C">
      <w:pPr>
        <w:rPr>
          <w:rFonts w:ascii="Times New Roman" w:hAnsi="Times New Roman" w:cs="Times New Roman"/>
          <w:sz w:val="24"/>
          <w:szCs w:val="24"/>
        </w:rPr>
      </w:pPr>
    </w:p>
    <w:p w:rsidR="000002F4" w:rsidRDefault="000002F4" w:rsidP="00DC186C">
      <w:pPr>
        <w:rPr>
          <w:rFonts w:ascii="Times New Roman" w:hAnsi="Times New Roman" w:cs="Times New Roman"/>
          <w:sz w:val="24"/>
          <w:szCs w:val="24"/>
        </w:rPr>
      </w:pPr>
    </w:p>
    <w:p w:rsidR="00E82D55" w:rsidRDefault="00E82D55" w:rsidP="00DC186C">
      <w:pPr>
        <w:rPr>
          <w:rFonts w:ascii="Times New Roman" w:hAnsi="Times New Roman" w:cs="Times New Roman"/>
          <w:b/>
          <w:sz w:val="24"/>
          <w:szCs w:val="24"/>
        </w:rPr>
      </w:pPr>
    </w:p>
    <w:p w:rsidR="000002F4" w:rsidRPr="000002F4" w:rsidRDefault="000002F4" w:rsidP="00DC186C">
      <w:pPr>
        <w:rPr>
          <w:rFonts w:ascii="Times New Roman" w:hAnsi="Times New Roman" w:cs="Times New Roman"/>
          <w:b/>
          <w:sz w:val="24"/>
          <w:szCs w:val="24"/>
        </w:rPr>
      </w:pPr>
      <w:r w:rsidRPr="000002F4">
        <w:rPr>
          <w:rFonts w:ascii="Times New Roman" w:hAnsi="Times New Roman" w:cs="Times New Roman"/>
          <w:b/>
          <w:sz w:val="24"/>
          <w:szCs w:val="24"/>
        </w:rPr>
        <w:lastRenderedPageBreak/>
        <w:t>Method for Constructing SBMVPs</w:t>
      </w:r>
    </w:p>
    <w:p w:rsidR="000002F4" w:rsidRPr="000002F4" w:rsidRDefault="000002F4" w:rsidP="004163DC">
      <w:pPr>
        <w:rPr>
          <w:rFonts w:ascii="Times New Roman" w:hAnsi="Times New Roman" w:cs="Times New Roman"/>
          <w:sz w:val="24"/>
          <w:szCs w:val="24"/>
        </w:rPr>
      </w:pPr>
      <w:r>
        <w:rPr>
          <w:rFonts w:ascii="Times New Roman" w:hAnsi="Times New Roman" w:cs="Times New Roman"/>
          <w:b/>
          <w:sz w:val="24"/>
          <w:szCs w:val="24"/>
        </w:rPr>
        <w:t xml:space="preserve">1. </w:t>
      </w:r>
      <w:r w:rsidR="004163DC" w:rsidRPr="005738AD">
        <w:rPr>
          <w:rFonts w:ascii="Times New Roman" w:hAnsi="Times New Roman" w:cs="Times New Roman"/>
          <w:b/>
          <w:sz w:val="24"/>
          <w:szCs w:val="24"/>
        </w:rPr>
        <w:t xml:space="preserve">The SBMVP </w:t>
      </w:r>
      <w:r w:rsidR="00DC186C">
        <w:rPr>
          <w:rFonts w:ascii="Times New Roman" w:hAnsi="Times New Roman" w:cs="Times New Roman"/>
          <w:b/>
          <w:sz w:val="24"/>
          <w:szCs w:val="24"/>
        </w:rPr>
        <w:t xml:space="preserve">(small-basket low volatility) </w:t>
      </w:r>
      <w:r w:rsidR="004163DC" w:rsidRPr="005738AD">
        <w:rPr>
          <w:rFonts w:ascii="Times New Roman" w:hAnsi="Times New Roman" w:cs="Times New Roman"/>
          <w:b/>
          <w:sz w:val="24"/>
          <w:szCs w:val="24"/>
        </w:rPr>
        <w:t xml:space="preserve">strategy </w:t>
      </w:r>
      <w:r w:rsidR="004163DC" w:rsidRPr="000002F4">
        <w:rPr>
          <w:rFonts w:ascii="Times New Roman" w:hAnsi="Times New Roman" w:cs="Times New Roman"/>
          <w:sz w:val="24"/>
          <w:szCs w:val="24"/>
        </w:rPr>
        <w:t>involves using constrained mean variance optimization to form portfolios from those DJIA stocks that offer the potential for minimum expected volatility</w:t>
      </w:r>
      <w:r w:rsidR="00F14B70" w:rsidRPr="000002F4">
        <w:rPr>
          <w:rFonts w:ascii="Times New Roman" w:hAnsi="Times New Roman" w:cs="Times New Roman"/>
          <w:sz w:val="24"/>
          <w:szCs w:val="24"/>
        </w:rPr>
        <w:t xml:space="preserve"> as does the MSCI</w:t>
      </w:r>
      <w:r w:rsidR="0054662B" w:rsidRPr="000002F4">
        <w:rPr>
          <w:rFonts w:ascii="Times New Roman" w:hAnsi="Times New Roman" w:cs="Times New Roman"/>
          <w:sz w:val="24"/>
          <w:szCs w:val="24"/>
        </w:rPr>
        <w:t xml:space="preserve"> approach that was mentioned earlier</w:t>
      </w:r>
      <w:r w:rsidR="004163DC" w:rsidRPr="000002F4">
        <w:rPr>
          <w:rFonts w:ascii="Times New Roman" w:hAnsi="Times New Roman" w:cs="Times New Roman"/>
          <w:sz w:val="24"/>
          <w:szCs w:val="24"/>
        </w:rPr>
        <w:t xml:space="preserve">.  </w:t>
      </w:r>
    </w:p>
    <w:p w:rsidR="004163DC" w:rsidRDefault="000002F4" w:rsidP="004163DC">
      <w:pPr>
        <w:rPr>
          <w:rFonts w:ascii="Times New Roman" w:hAnsi="Times New Roman" w:cs="Times New Roman"/>
          <w:sz w:val="24"/>
          <w:szCs w:val="24"/>
        </w:rPr>
      </w:pPr>
      <w:r>
        <w:rPr>
          <w:rFonts w:ascii="Times New Roman" w:hAnsi="Times New Roman" w:cs="Times New Roman"/>
          <w:b/>
          <w:sz w:val="24"/>
          <w:szCs w:val="24"/>
        </w:rPr>
        <w:t xml:space="preserve">- </w:t>
      </w:r>
      <w:r w:rsidR="004163DC" w:rsidRPr="004163DC">
        <w:rPr>
          <w:rFonts w:ascii="Times New Roman" w:hAnsi="Times New Roman" w:cs="Times New Roman"/>
          <w:sz w:val="24"/>
          <w:szCs w:val="24"/>
        </w:rPr>
        <w:t>The DJIA is chosen as the larger index portfolio in this study in order to d</w:t>
      </w:r>
      <w:r w:rsidR="00E82D55">
        <w:rPr>
          <w:rFonts w:ascii="Times New Roman" w:hAnsi="Times New Roman" w:cs="Times New Roman"/>
          <w:sz w:val="24"/>
          <w:szCs w:val="24"/>
        </w:rPr>
        <w:t>emonstrate the SBMVP strategy relative to</w:t>
      </w:r>
      <w:r w:rsidR="004163DC" w:rsidRPr="004163DC">
        <w:rPr>
          <w:rFonts w:ascii="Times New Roman" w:hAnsi="Times New Roman" w:cs="Times New Roman"/>
          <w:sz w:val="24"/>
          <w:szCs w:val="24"/>
        </w:rPr>
        <w:t xml:space="preserve"> a well-known</w:t>
      </w:r>
      <w:r w:rsidR="00C12868">
        <w:rPr>
          <w:rFonts w:ascii="Times New Roman" w:hAnsi="Times New Roman" w:cs="Times New Roman"/>
          <w:sz w:val="24"/>
          <w:szCs w:val="24"/>
        </w:rPr>
        <w:t xml:space="preserve"> equity index</w:t>
      </w:r>
      <w:r w:rsidR="004163DC" w:rsidRPr="004163DC">
        <w:rPr>
          <w:rFonts w:ascii="Times New Roman" w:hAnsi="Times New Roman" w:cs="Times New Roman"/>
          <w:sz w:val="24"/>
          <w:szCs w:val="24"/>
        </w:rPr>
        <w:t xml:space="preserve">.  </w:t>
      </w:r>
    </w:p>
    <w:p w:rsidR="00DC186C" w:rsidRPr="000002F4" w:rsidRDefault="000002F4" w:rsidP="00DC186C">
      <w:pPr>
        <w:rPr>
          <w:rFonts w:ascii="Times New Roman" w:hAnsi="Times New Roman" w:cs="Times New Roman"/>
          <w:sz w:val="24"/>
          <w:szCs w:val="24"/>
        </w:rPr>
      </w:pPr>
      <w:r w:rsidRPr="000002F4">
        <w:rPr>
          <w:rFonts w:ascii="Times New Roman" w:hAnsi="Times New Roman" w:cs="Times New Roman"/>
          <w:sz w:val="24"/>
          <w:szCs w:val="24"/>
        </w:rPr>
        <w:t xml:space="preserve">- </w:t>
      </w:r>
      <w:r w:rsidR="00DC186C" w:rsidRPr="000002F4">
        <w:rPr>
          <w:rFonts w:ascii="Times New Roman" w:hAnsi="Times New Roman" w:cs="Times New Roman"/>
          <w:sz w:val="24"/>
          <w:szCs w:val="24"/>
        </w:rPr>
        <w:t xml:space="preserve">The SBMVP strategy </w:t>
      </w:r>
      <w:r>
        <w:rPr>
          <w:rFonts w:ascii="Times New Roman" w:hAnsi="Times New Roman" w:cs="Times New Roman"/>
          <w:sz w:val="24"/>
          <w:szCs w:val="24"/>
        </w:rPr>
        <w:t xml:space="preserve">could also be </w:t>
      </w:r>
      <w:r w:rsidR="00DC186C" w:rsidRPr="000002F4">
        <w:rPr>
          <w:rFonts w:ascii="Times New Roman" w:hAnsi="Times New Roman" w:cs="Times New Roman"/>
          <w:sz w:val="24"/>
          <w:szCs w:val="24"/>
        </w:rPr>
        <w:t xml:space="preserve">applied to </w:t>
      </w:r>
      <w:r>
        <w:rPr>
          <w:rFonts w:ascii="Times New Roman" w:hAnsi="Times New Roman" w:cs="Times New Roman"/>
          <w:sz w:val="24"/>
          <w:szCs w:val="24"/>
        </w:rPr>
        <w:t xml:space="preserve">any other group of stocks </w:t>
      </w:r>
      <w:r w:rsidR="00DC186C" w:rsidRPr="000002F4">
        <w:rPr>
          <w:rFonts w:ascii="Times New Roman" w:hAnsi="Times New Roman" w:cs="Times New Roman"/>
          <w:sz w:val="24"/>
          <w:szCs w:val="24"/>
        </w:rPr>
        <w:t>that exist in the marke</w:t>
      </w:r>
      <w:r>
        <w:rPr>
          <w:rFonts w:ascii="Times New Roman" w:hAnsi="Times New Roman" w:cs="Times New Roman"/>
          <w:sz w:val="24"/>
          <w:szCs w:val="24"/>
        </w:rPr>
        <w:t>t</w:t>
      </w:r>
      <w:r w:rsidR="00DC186C" w:rsidRPr="000002F4">
        <w:rPr>
          <w:rFonts w:ascii="Times New Roman" w:hAnsi="Times New Roman" w:cs="Times New Roman"/>
          <w:sz w:val="24"/>
          <w:szCs w:val="24"/>
        </w:rPr>
        <w:t xml:space="preserve">.  </w:t>
      </w:r>
    </w:p>
    <w:p w:rsidR="00DC186C" w:rsidRDefault="00DC186C" w:rsidP="00DC186C">
      <w:pPr>
        <w:rPr>
          <w:rFonts w:ascii="Times New Roman" w:hAnsi="Times New Roman" w:cs="Times New Roman"/>
          <w:b/>
          <w:i/>
          <w:sz w:val="24"/>
          <w:szCs w:val="24"/>
        </w:rPr>
      </w:pPr>
      <w:r w:rsidRPr="00DC186C">
        <w:rPr>
          <w:rFonts w:ascii="Times New Roman" w:hAnsi="Times New Roman" w:cs="Times New Roman"/>
          <w:b/>
          <w:sz w:val="24"/>
          <w:szCs w:val="24"/>
        </w:rPr>
        <w:t xml:space="preserve"> </w:t>
      </w:r>
      <w:r w:rsidRPr="00DC186C">
        <w:rPr>
          <w:rFonts w:ascii="Times New Roman" w:hAnsi="Times New Roman" w:cs="Times New Roman"/>
          <w:b/>
          <w:i/>
          <w:sz w:val="24"/>
          <w:szCs w:val="24"/>
        </w:rPr>
        <w:t>“Larsen, Glen A., Enhancing the Returns of SRI Portfolios Using a Minimum Variance Small-Basket Strategy,” Journal of Financial Planning, Vol. 26, No., May 2013, 46–53.</w:t>
      </w:r>
    </w:p>
    <w:p w:rsidR="000002F4" w:rsidRPr="000002F4" w:rsidRDefault="000002F4" w:rsidP="00DC186C">
      <w:pPr>
        <w:rPr>
          <w:rFonts w:ascii="Times New Roman" w:hAnsi="Times New Roman" w:cs="Times New Roman"/>
          <w:b/>
          <w:i/>
          <w:sz w:val="24"/>
          <w:szCs w:val="24"/>
        </w:rPr>
      </w:pPr>
      <w:r w:rsidRPr="000002F4">
        <w:rPr>
          <w:rFonts w:ascii="Times New Roman" w:hAnsi="Times New Roman" w:cs="Times New Roman"/>
          <w:b/>
          <w:i/>
          <w:sz w:val="24"/>
          <w:szCs w:val="24"/>
        </w:rPr>
        <w:t>“An Optimization Strategy for Enhancing the Performance of Fund-of-Funds Portfolios,” with B. Resnick, The Journal of Portfolio Management, Vol. 38, No. 2, Winter 2012, 147-154.</w:t>
      </w:r>
    </w:p>
    <w:p w:rsidR="000002F4" w:rsidRDefault="000002F4" w:rsidP="0054662B">
      <w:pPr>
        <w:rPr>
          <w:rFonts w:ascii="Times New Roman" w:hAnsi="Times New Roman" w:cs="Times New Roman"/>
          <w:sz w:val="24"/>
          <w:szCs w:val="24"/>
        </w:rPr>
      </w:pPr>
      <w:r>
        <w:rPr>
          <w:rFonts w:ascii="Times New Roman" w:hAnsi="Times New Roman" w:cs="Times New Roman"/>
          <w:b/>
          <w:sz w:val="24"/>
          <w:szCs w:val="24"/>
        </w:rPr>
        <w:t>2</w:t>
      </w:r>
      <w:r w:rsidR="0054662B" w:rsidRPr="00F64714">
        <w:rPr>
          <w:rFonts w:ascii="Times New Roman" w:hAnsi="Times New Roman" w:cs="Times New Roman"/>
          <w:b/>
          <w:sz w:val="24"/>
          <w:szCs w:val="24"/>
        </w:rPr>
        <w:t>.</w:t>
      </w:r>
      <w:r w:rsidR="0054662B">
        <w:rPr>
          <w:rFonts w:ascii="Times New Roman" w:hAnsi="Times New Roman" w:cs="Times New Roman"/>
          <w:sz w:val="24"/>
          <w:szCs w:val="24"/>
        </w:rPr>
        <w:t xml:space="preserve">  </w:t>
      </w:r>
      <w:r w:rsidR="0054662B" w:rsidRPr="000002F4">
        <w:rPr>
          <w:rFonts w:ascii="Times New Roman" w:hAnsi="Times New Roman" w:cs="Times New Roman"/>
          <w:sz w:val="24"/>
          <w:szCs w:val="24"/>
        </w:rPr>
        <w:t xml:space="preserve">Monthly total return data files for the individual stocks in the DJIA are obtained from The University of </w:t>
      </w:r>
      <w:r w:rsidR="0054662B" w:rsidRPr="00E82D55">
        <w:rPr>
          <w:rFonts w:ascii="Times New Roman" w:hAnsi="Times New Roman" w:cs="Times New Roman"/>
          <w:b/>
          <w:sz w:val="24"/>
          <w:szCs w:val="24"/>
        </w:rPr>
        <w:t>Chicago Center for Research in Security Prices (CRSP)</w:t>
      </w:r>
      <w:r w:rsidR="0054662B" w:rsidRPr="000002F4">
        <w:rPr>
          <w:rFonts w:ascii="Times New Roman" w:hAnsi="Times New Roman" w:cs="Times New Roman"/>
          <w:sz w:val="24"/>
          <w:szCs w:val="24"/>
        </w:rPr>
        <w:t xml:space="preserve">.  </w:t>
      </w:r>
      <w:r w:rsidR="0054662B" w:rsidRPr="0054662B">
        <w:rPr>
          <w:rFonts w:ascii="Times New Roman" w:hAnsi="Times New Roman" w:cs="Times New Roman"/>
          <w:sz w:val="24"/>
          <w:szCs w:val="24"/>
        </w:rPr>
        <w:t>The CRSP total monthly return data files are then used to calculate the compounded annual rate of return for each of the stocks in the DJIA.</w:t>
      </w:r>
      <w:r>
        <w:rPr>
          <w:rFonts w:ascii="Times New Roman" w:hAnsi="Times New Roman" w:cs="Times New Roman"/>
          <w:sz w:val="24"/>
          <w:szCs w:val="24"/>
        </w:rPr>
        <w:t xml:space="preserve">  Monthly t</w:t>
      </w:r>
      <w:r w:rsidRPr="003018C0">
        <w:rPr>
          <w:rFonts w:ascii="Times New Roman" w:hAnsi="Times New Roman" w:cs="Times New Roman"/>
          <w:b/>
          <w:sz w:val="24"/>
          <w:szCs w:val="24"/>
        </w:rPr>
        <w:t xml:space="preserve">otal returns can also be calculated </w:t>
      </w:r>
      <w:r>
        <w:rPr>
          <w:rFonts w:ascii="Times New Roman" w:hAnsi="Times New Roman" w:cs="Times New Roman"/>
          <w:sz w:val="24"/>
          <w:szCs w:val="24"/>
        </w:rPr>
        <w:t xml:space="preserve">for individual stocks by downloading the </w:t>
      </w:r>
      <w:r w:rsidRPr="00E82D55">
        <w:rPr>
          <w:rFonts w:ascii="Times New Roman" w:hAnsi="Times New Roman" w:cs="Times New Roman"/>
          <w:b/>
          <w:sz w:val="24"/>
          <w:szCs w:val="24"/>
        </w:rPr>
        <w:t>Monthly Adjusted Closing Price data</w:t>
      </w:r>
      <w:r>
        <w:rPr>
          <w:rFonts w:ascii="Times New Roman" w:hAnsi="Times New Roman" w:cs="Times New Roman"/>
          <w:sz w:val="24"/>
          <w:szCs w:val="24"/>
        </w:rPr>
        <w:t xml:space="preserve"> into an Excel spreadsheet that can be found in </w:t>
      </w:r>
      <w:r w:rsidRPr="00E82D55">
        <w:rPr>
          <w:rFonts w:ascii="Times New Roman" w:hAnsi="Times New Roman" w:cs="Times New Roman"/>
          <w:b/>
          <w:sz w:val="24"/>
          <w:szCs w:val="24"/>
        </w:rPr>
        <w:t>Yahoo Finance</w:t>
      </w:r>
      <w:r>
        <w:rPr>
          <w:rFonts w:ascii="Times New Roman" w:hAnsi="Times New Roman" w:cs="Times New Roman"/>
          <w:sz w:val="24"/>
          <w:szCs w:val="24"/>
        </w:rPr>
        <w:t>.</w:t>
      </w:r>
      <w:r w:rsidR="00E82D55">
        <w:rPr>
          <w:rFonts w:ascii="Times New Roman" w:hAnsi="Times New Roman" w:cs="Times New Roman"/>
          <w:sz w:val="24"/>
          <w:szCs w:val="24"/>
        </w:rPr>
        <w:t xml:space="preserve">  The Yahoo monthly price data can then be used calculate total annual returns.</w:t>
      </w:r>
    </w:p>
    <w:p w:rsidR="0054662B" w:rsidRDefault="000002F4" w:rsidP="0054662B">
      <w:pPr>
        <w:rPr>
          <w:rFonts w:ascii="Times New Roman" w:hAnsi="Times New Roman" w:cs="Times New Roman"/>
          <w:sz w:val="24"/>
          <w:szCs w:val="24"/>
        </w:rPr>
      </w:pPr>
      <w:r w:rsidRPr="000002F4">
        <w:rPr>
          <w:rFonts w:ascii="Times New Roman" w:hAnsi="Times New Roman" w:cs="Times New Roman"/>
          <w:b/>
          <w:sz w:val="24"/>
          <w:szCs w:val="24"/>
        </w:rPr>
        <w:t xml:space="preserve">3.  </w:t>
      </w:r>
      <w:r w:rsidR="0054662B" w:rsidRPr="000002F4">
        <w:rPr>
          <w:rFonts w:ascii="Times New Roman" w:hAnsi="Times New Roman" w:cs="Times New Roman"/>
          <w:sz w:val="24"/>
          <w:szCs w:val="24"/>
        </w:rPr>
        <w:t xml:space="preserve">The </w:t>
      </w:r>
      <w:r w:rsidR="0054662B" w:rsidRPr="00E82D55">
        <w:rPr>
          <w:rFonts w:ascii="Times New Roman" w:hAnsi="Times New Roman" w:cs="Times New Roman"/>
          <w:b/>
          <w:sz w:val="24"/>
          <w:szCs w:val="24"/>
        </w:rPr>
        <w:t xml:space="preserve">Solver tool in Excel is used to implement MVO </w:t>
      </w:r>
      <w:r w:rsidR="0054662B" w:rsidRPr="000002F4">
        <w:rPr>
          <w:rFonts w:ascii="Times New Roman" w:hAnsi="Times New Roman" w:cs="Times New Roman"/>
          <w:sz w:val="24"/>
          <w:szCs w:val="24"/>
        </w:rPr>
        <w:t>over the previous eight years of return data to solve for the set of individual stock weights used to construct the SB</w:t>
      </w:r>
      <w:r w:rsidR="00430196">
        <w:rPr>
          <w:rFonts w:ascii="Times New Roman" w:hAnsi="Times New Roman" w:cs="Times New Roman"/>
          <w:sz w:val="24"/>
          <w:szCs w:val="24"/>
        </w:rPr>
        <w:t>MV</w:t>
      </w:r>
      <w:r w:rsidR="0054662B" w:rsidRPr="000002F4">
        <w:rPr>
          <w:rFonts w:ascii="Times New Roman" w:hAnsi="Times New Roman" w:cs="Times New Roman"/>
          <w:sz w:val="24"/>
          <w:szCs w:val="24"/>
        </w:rPr>
        <w:t xml:space="preserve">Ps for the next one-year holding period.  </w:t>
      </w:r>
      <w:r w:rsidR="0054662B" w:rsidRPr="0054662B">
        <w:rPr>
          <w:rFonts w:ascii="Times New Roman" w:hAnsi="Times New Roman" w:cs="Times New Roman"/>
          <w:sz w:val="24"/>
          <w:szCs w:val="24"/>
        </w:rPr>
        <w:t>For example</w:t>
      </w:r>
      <w:r w:rsidR="00D41668">
        <w:rPr>
          <w:rFonts w:ascii="Times New Roman" w:hAnsi="Times New Roman" w:cs="Times New Roman"/>
          <w:sz w:val="24"/>
          <w:szCs w:val="24"/>
        </w:rPr>
        <w:t>, the ex ante portfolio for 1995 is</w:t>
      </w:r>
      <w:r w:rsidR="0054662B" w:rsidRPr="0054662B">
        <w:rPr>
          <w:rFonts w:ascii="Times New Roman" w:hAnsi="Times New Roman" w:cs="Times New Roman"/>
          <w:sz w:val="24"/>
          <w:szCs w:val="24"/>
        </w:rPr>
        <w:t xml:space="preserve"> constructed based on the stock weights from the ex post efficient portfolio derived using the historical return, standard deviation, and correlation data for the stocks in the DJIA over the previo</w:t>
      </w:r>
      <w:r w:rsidR="00D41668">
        <w:rPr>
          <w:rFonts w:ascii="Times New Roman" w:hAnsi="Times New Roman" w:cs="Times New Roman"/>
          <w:sz w:val="24"/>
          <w:szCs w:val="24"/>
        </w:rPr>
        <w:t>us eight years from 1987–1994</w:t>
      </w:r>
      <w:r>
        <w:rPr>
          <w:rFonts w:ascii="Times New Roman" w:hAnsi="Times New Roman" w:cs="Times New Roman"/>
          <w:sz w:val="24"/>
          <w:szCs w:val="24"/>
        </w:rPr>
        <w:t xml:space="preserve">.  </w:t>
      </w:r>
    </w:p>
    <w:p w:rsidR="00221EF3" w:rsidRDefault="000002F4" w:rsidP="004163DC">
      <w:pPr>
        <w:rPr>
          <w:rFonts w:ascii="Times New Roman" w:hAnsi="Times New Roman" w:cs="Times New Roman"/>
          <w:sz w:val="24"/>
          <w:szCs w:val="24"/>
        </w:rPr>
      </w:pPr>
      <w:r>
        <w:rPr>
          <w:rFonts w:ascii="Times New Roman" w:hAnsi="Times New Roman" w:cs="Times New Roman"/>
          <w:b/>
          <w:sz w:val="24"/>
          <w:szCs w:val="24"/>
        </w:rPr>
        <w:t xml:space="preserve">4.  </w:t>
      </w:r>
      <w:r w:rsidRPr="000002F4">
        <w:rPr>
          <w:rFonts w:ascii="Times New Roman" w:hAnsi="Times New Roman" w:cs="Times New Roman"/>
          <w:sz w:val="24"/>
          <w:szCs w:val="24"/>
        </w:rPr>
        <w:t>B</w:t>
      </w:r>
      <w:r w:rsidR="0054662B" w:rsidRPr="000002F4">
        <w:rPr>
          <w:rFonts w:ascii="Times New Roman" w:hAnsi="Times New Roman" w:cs="Times New Roman"/>
          <w:sz w:val="24"/>
          <w:szCs w:val="24"/>
        </w:rPr>
        <w:t>ecause individual stock weights in the SBMVPs are constrained to 20 percent, the number of stocks in each SBMVP is generally limited to no less than five stocks and no more than 10 stocks.</w:t>
      </w:r>
      <w:r w:rsidR="0054662B" w:rsidRPr="0054662B">
        <w:rPr>
          <w:rFonts w:ascii="Times New Roman" w:hAnsi="Times New Roman" w:cs="Times New Roman"/>
          <w:sz w:val="24"/>
          <w:szCs w:val="24"/>
        </w:rPr>
        <w:t xml:space="preserve">  As such, the SBMVP strategy does not depend on owning all (or a large number) of the </w:t>
      </w:r>
      <w:r>
        <w:rPr>
          <w:rFonts w:ascii="Times New Roman" w:hAnsi="Times New Roman" w:cs="Times New Roman"/>
          <w:sz w:val="24"/>
          <w:szCs w:val="24"/>
        </w:rPr>
        <w:t xml:space="preserve">stocks in the DJIA. </w:t>
      </w:r>
    </w:p>
    <w:p w:rsidR="000002F4" w:rsidRDefault="000002F4" w:rsidP="004163DC">
      <w:pPr>
        <w:rPr>
          <w:rFonts w:ascii="Times New Roman" w:hAnsi="Times New Roman" w:cs="Times New Roman"/>
          <w:sz w:val="24"/>
          <w:szCs w:val="24"/>
        </w:rPr>
      </w:pPr>
    </w:p>
    <w:p w:rsidR="000002F4" w:rsidRPr="004163DC" w:rsidRDefault="000002F4" w:rsidP="004163DC">
      <w:pPr>
        <w:rPr>
          <w:rFonts w:ascii="Times New Roman" w:hAnsi="Times New Roman" w:cs="Times New Roman"/>
          <w:sz w:val="24"/>
          <w:szCs w:val="24"/>
        </w:rPr>
      </w:pPr>
    </w:p>
    <w:p w:rsidR="000002F4" w:rsidRDefault="000002F4" w:rsidP="004163DC">
      <w:pPr>
        <w:rPr>
          <w:rFonts w:ascii="Times New Roman" w:hAnsi="Times New Roman" w:cs="Times New Roman"/>
          <w:b/>
          <w:sz w:val="24"/>
          <w:szCs w:val="24"/>
        </w:rPr>
      </w:pPr>
    </w:p>
    <w:p w:rsidR="000002F4" w:rsidRDefault="000002F4" w:rsidP="004163DC">
      <w:pPr>
        <w:rPr>
          <w:rFonts w:ascii="Times New Roman" w:hAnsi="Times New Roman" w:cs="Times New Roman"/>
          <w:b/>
          <w:sz w:val="24"/>
          <w:szCs w:val="24"/>
        </w:rPr>
      </w:pPr>
    </w:p>
    <w:p w:rsidR="000002F4" w:rsidRDefault="000002F4" w:rsidP="004163DC">
      <w:pPr>
        <w:rPr>
          <w:rFonts w:ascii="Times New Roman" w:hAnsi="Times New Roman" w:cs="Times New Roman"/>
          <w:b/>
          <w:sz w:val="24"/>
          <w:szCs w:val="24"/>
        </w:rPr>
      </w:pPr>
      <w:r>
        <w:rPr>
          <w:rFonts w:ascii="Times New Roman" w:hAnsi="Times New Roman" w:cs="Times New Roman"/>
          <w:b/>
          <w:sz w:val="24"/>
          <w:szCs w:val="24"/>
        </w:rPr>
        <w:lastRenderedPageBreak/>
        <w:t>Results</w:t>
      </w:r>
    </w:p>
    <w:p w:rsidR="004163DC" w:rsidRDefault="000002F4" w:rsidP="004163DC">
      <w:pPr>
        <w:rPr>
          <w:rFonts w:ascii="Times New Roman" w:hAnsi="Times New Roman" w:cs="Times New Roman"/>
          <w:sz w:val="24"/>
          <w:szCs w:val="24"/>
        </w:rPr>
      </w:pPr>
      <w:r>
        <w:rPr>
          <w:rFonts w:ascii="Times New Roman" w:hAnsi="Times New Roman" w:cs="Times New Roman"/>
          <w:b/>
          <w:sz w:val="24"/>
          <w:szCs w:val="24"/>
        </w:rPr>
        <w:t>1</w:t>
      </w:r>
      <w:r w:rsidR="0054662B" w:rsidRPr="00F64714">
        <w:rPr>
          <w:rFonts w:ascii="Times New Roman" w:hAnsi="Times New Roman" w:cs="Times New Roman"/>
          <w:b/>
          <w:sz w:val="24"/>
          <w:szCs w:val="24"/>
        </w:rPr>
        <w:t>.</w:t>
      </w:r>
      <w:r w:rsidR="0054662B">
        <w:rPr>
          <w:rFonts w:ascii="Times New Roman" w:hAnsi="Times New Roman" w:cs="Times New Roman"/>
          <w:sz w:val="24"/>
          <w:szCs w:val="24"/>
        </w:rPr>
        <w:t xml:space="preserve">  </w:t>
      </w:r>
      <w:r w:rsidR="006B324E" w:rsidRPr="006B324E">
        <w:rPr>
          <w:rFonts w:ascii="Times New Roman" w:hAnsi="Times New Roman" w:cs="Times New Roman"/>
          <w:b/>
          <w:sz w:val="24"/>
          <w:szCs w:val="24"/>
        </w:rPr>
        <w:t>Table 1</w:t>
      </w:r>
      <w:r w:rsidR="006B324E">
        <w:rPr>
          <w:rFonts w:ascii="Times New Roman" w:hAnsi="Times New Roman" w:cs="Times New Roman"/>
          <w:sz w:val="24"/>
          <w:szCs w:val="24"/>
        </w:rPr>
        <w:t xml:space="preserve"> shows that i</w:t>
      </w:r>
      <w:r w:rsidR="004163DC" w:rsidRPr="004163DC">
        <w:rPr>
          <w:rFonts w:ascii="Times New Roman" w:hAnsi="Times New Roman" w:cs="Times New Roman"/>
          <w:sz w:val="24"/>
          <w:szCs w:val="24"/>
        </w:rPr>
        <w:t xml:space="preserve">n terms of average returns and standard deviation risk, the </w:t>
      </w:r>
      <w:r w:rsidR="004163DC" w:rsidRPr="000002F4">
        <w:rPr>
          <w:rFonts w:ascii="Times New Roman" w:hAnsi="Times New Roman" w:cs="Times New Roman"/>
          <w:b/>
          <w:sz w:val="24"/>
          <w:szCs w:val="24"/>
        </w:rPr>
        <w:t>SBMVP strategy generates a higher average annual return and a lower standard deviation of annual returns than the DJIA over the study period.</w:t>
      </w:r>
      <w:r w:rsidR="004163DC" w:rsidRPr="004163DC">
        <w:rPr>
          <w:rFonts w:ascii="Times New Roman" w:hAnsi="Times New Roman" w:cs="Times New Roman"/>
          <w:sz w:val="24"/>
          <w:szCs w:val="24"/>
        </w:rPr>
        <w:t xml:space="preserve">  The results are based on rebalancing only once a year and holding fewer than 10 stocks, which does not take a great deal of work for </w:t>
      </w:r>
      <w:r w:rsidR="00E82D55">
        <w:rPr>
          <w:rFonts w:ascii="Times New Roman" w:hAnsi="Times New Roman" w:cs="Times New Roman"/>
          <w:sz w:val="24"/>
          <w:szCs w:val="24"/>
        </w:rPr>
        <w:t>the CFP advisor</w:t>
      </w:r>
      <w:r w:rsidR="004163DC" w:rsidRPr="004163DC">
        <w:rPr>
          <w:rFonts w:ascii="Times New Roman" w:hAnsi="Times New Roman" w:cs="Times New Roman"/>
          <w:sz w:val="24"/>
          <w:szCs w:val="24"/>
        </w:rPr>
        <w:t xml:space="preserve">.   </w:t>
      </w:r>
    </w:p>
    <w:p w:rsidR="000002F4" w:rsidRPr="000002F4" w:rsidRDefault="000002F4" w:rsidP="000002F4">
      <w:pPr>
        <w:rPr>
          <w:rFonts w:ascii="Times New Roman" w:hAnsi="Times New Roman" w:cs="Times New Roman"/>
          <w:b/>
          <w:sz w:val="24"/>
          <w:szCs w:val="24"/>
        </w:rPr>
      </w:pPr>
      <w:r w:rsidRPr="000002F4">
        <w:rPr>
          <w:rFonts w:ascii="Times New Roman" w:hAnsi="Times New Roman" w:cs="Times New Roman"/>
          <w:b/>
          <w:sz w:val="24"/>
          <w:szCs w:val="24"/>
        </w:rPr>
        <w:t>Table 1.</w:t>
      </w:r>
      <w:r w:rsidRPr="000002F4">
        <w:rPr>
          <w:rFonts w:ascii="Times New Roman" w:hAnsi="Times New Roman" w:cs="Times New Roman"/>
          <w:b/>
          <w:sz w:val="24"/>
          <w:szCs w:val="24"/>
        </w:rPr>
        <w:br/>
        <w:t>Long Only Small-Basket Minimum Expect Volatility Portfolio (SBMVP) Performance Results 1995 - 2014</w:t>
      </w:r>
    </w:p>
    <w:p w:rsidR="000002F4" w:rsidRPr="000002F4" w:rsidRDefault="000002F4" w:rsidP="000002F4">
      <w:pPr>
        <w:rPr>
          <w:rFonts w:ascii="Times New Roman" w:hAnsi="Times New Roman" w:cs="Times New Roman"/>
          <w:b/>
          <w:sz w:val="24"/>
          <w:szCs w:val="24"/>
        </w:rPr>
      </w:pPr>
      <w:r w:rsidRPr="000002F4">
        <w:rPr>
          <w:rFonts w:ascii="Times New Roman" w:hAnsi="Times New Roman" w:cs="Times New Roman"/>
          <w:b/>
          <w:sz w:val="24"/>
          <w:szCs w:val="24"/>
        </w:rPr>
        <w:t>Traditional Measures of Return and Risk:</w:t>
      </w:r>
    </w:p>
    <w:p w:rsidR="000002F4" w:rsidRPr="000002F4" w:rsidRDefault="000002F4" w:rsidP="000002F4">
      <w:pPr>
        <w:rPr>
          <w:rFonts w:ascii="Times New Roman" w:hAnsi="Times New Roman" w:cs="Times New Roman"/>
          <w:b/>
          <w:sz w:val="24"/>
          <w:szCs w:val="24"/>
        </w:rPr>
      </w:pPr>
      <w:r w:rsidRPr="000002F4">
        <w:rPr>
          <w:rFonts w:ascii="Times New Roman" w:hAnsi="Times New Roman" w:cs="Times New Roman"/>
          <w:b/>
          <w:sz w:val="24"/>
          <w:szCs w:val="24"/>
        </w:rPr>
        <w:tab/>
      </w:r>
      <w:r w:rsidRPr="000002F4">
        <w:rPr>
          <w:rFonts w:ascii="Times New Roman" w:hAnsi="Times New Roman" w:cs="Times New Roman"/>
          <w:b/>
          <w:sz w:val="24"/>
          <w:szCs w:val="24"/>
        </w:rPr>
        <w:tab/>
      </w:r>
      <w:r w:rsidRPr="000002F4">
        <w:rPr>
          <w:rFonts w:ascii="Times New Roman" w:hAnsi="Times New Roman" w:cs="Times New Roman"/>
          <w:b/>
          <w:sz w:val="24"/>
          <w:szCs w:val="24"/>
        </w:rPr>
        <w:tab/>
      </w:r>
      <w:r w:rsidRPr="000002F4">
        <w:rPr>
          <w:rFonts w:ascii="Times New Roman" w:hAnsi="Times New Roman" w:cs="Times New Roman"/>
          <w:b/>
          <w:sz w:val="24"/>
          <w:szCs w:val="24"/>
        </w:rPr>
        <w:tab/>
        <w:t>SBMVP</w:t>
      </w:r>
      <w:r w:rsidRPr="000002F4">
        <w:rPr>
          <w:rFonts w:ascii="Times New Roman" w:hAnsi="Times New Roman" w:cs="Times New Roman"/>
          <w:b/>
          <w:sz w:val="24"/>
          <w:szCs w:val="24"/>
        </w:rPr>
        <w:tab/>
      </w:r>
      <w:r w:rsidRPr="000002F4">
        <w:rPr>
          <w:rFonts w:ascii="Times New Roman" w:hAnsi="Times New Roman" w:cs="Times New Roman"/>
          <w:b/>
          <w:sz w:val="24"/>
          <w:szCs w:val="24"/>
        </w:rPr>
        <w:tab/>
        <w:t>DJIA</w:t>
      </w:r>
      <w:r w:rsidRPr="000002F4">
        <w:rPr>
          <w:rFonts w:ascii="Times New Roman" w:hAnsi="Times New Roman" w:cs="Times New Roman"/>
          <w:b/>
          <w:sz w:val="24"/>
          <w:szCs w:val="24"/>
        </w:rPr>
        <w:br/>
      </w:r>
      <w:r w:rsidRPr="000002F4">
        <w:rPr>
          <w:rFonts w:ascii="Times New Roman" w:hAnsi="Times New Roman" w:cs="Times New Roman"/>
          <w:sz w:val="24"/>
          <w:szCs w:val="24"/>
        </w:rPr>
        <w:br/>
        <w:t>Average Annual Return</w:t>
      </w:r>
      <w:r w:rsidRPr="000002F4">
        <w:rPr>
          <w:rFonts w:ascii="Times New Roman" w:hAnsi="Times New Roman" w:cs="Times New Roman"/>
          <w:sz w:val="24"/>
          <w:szCs w:val="24"/>
        </w:rPr>
        <w:tab/>
        <w:t>14.32%</w:t>
      </w:r>
      <w:r w:rsidRPr="000002F4">
        <w:rPr>
          <w:rFonts w:ascii="Times New Roman" w:hAnsi="Times New Roman" w:cs="Times New Roman"/>
          <w:sz w:val="24"/>
          <w:szCs w:val="24"/>
        </w:rPr>
        <w:tab/>
      </w:r>
      <w:r w:rsidRPr="000002F4">
        <w:rPr>
          <w:rFonts w:ascii="Times New Roman" w:hAnsi="Times New Roman" w:cs="Times New Roman"/>
          <w:sz w:val="24"/>
          <w:szCs w:val="24"/>
        </w:rPr>
        <w:tab/>
        <w:t>11.85%</w:t>
      </w:r>
      <w:r w:rsidRPr="000002F4">
        <w:rPr>
          <w:rFonts w:ascii="Times New Roman" w:hAnsi="Times New Roman" w:cs="Times New Roman"/>
          <w:b/>
          <w:sz w:val="24"/>
          <w:szCs w:val="24"/>
        </w:rPr>
        <w:br/>
      </w:r>
      <w:r w:rsidRPr="000002F4">
        <w:rPr>
          <w:rFonts w:ascii="Times New Roman" w:hAnsi="Times New Roman" w:cs="Times New Roman"/>
          <w:sz w:val="24"/>
          <w:szCs w:val="24"/>
        </w:rPr>
        <w:t>Standard Deviation</w:t>
      </w:r>
      <w:r w:rsidRPr="000002F4">
        <w:rPr>
          <w:rFonts w:ascii="Times New Roman" w:hAnsi="Times New Roman" w:cs="Times New Roman"/>
          <w:sz w:val="24"/>
          <w:szCs w:val="24"/>
        </w:rPr>
        <w:tab/>
      </w:r>
      <w:r w:rsidRPr="000002F4">
        <w:rPr>
          <w:rFonts w:ascii="Times New Roman" w:hAnsi="Times New Roman" w:cs="Times New Roman"/>
          <w:sz w:val="24"/>
          <w:szCs w:val="24"/>
        </w:rPr>
        <w:tab/>
        <w:t>15.68%</w:t>
      </w:r>
      <w:r w:rsidRPr="000002F4">
        <w:rPr>
          <w:rFonts w:ascii="Times New Roman" w:hAnsi="Times New Roman" w:cs="Times New Roman"/>
          <w:sz w:val="24"/>
          <w:szCs w:val="24"/>
        </w:rPr>
        <w:tab/>
      </w:r>
      <w:r w:rsidRPr="000002F4">
        <w:rPr>
          <w:rFonts w:ascii="Times New Roman" w:hAnsi="Times New Roman" w:cs="Times New Roman"/>
          <w:sz w:val="24"/>
          <w:szCs w:val="24"/>
        </w:rPr>
        <w:tab/>
        <w:t>16.60%</w:t>
      </w:r>
      <w:r w:rsidRPr="000002F4">
        <w:rPr>
          <w:rFonts w:ascii="Times New Roman" w:hAnsi="Times New Roman" w:cs="Times New Roman"/>
          <w:b/>
          <w:sz w:val="24"/>
          <w:szCs w:val="24"/>
        </w:rPr>
        <w:br/>
      </w:r>
      <w:r w:rsidRPr="000002F4">
        <w:rPr>
          <w:rFonts w:ascii="Times New Roman" w:hAnsi="Times New Roman" w:cs="Times New Roman"/>
          <w:sz w:val="24"/>
          <w:szCs w:val="24"/>
        </w:rPr>
        <w:t>Coefficient of Variation</w:t>
      </w:r>
      <w:r w:rsidRPr="000002F4">
        <w:rPr>
          <w:rFonts w:ascii="Times New Roman" w:hAnsi="Times New Roman" w:cs="Times New Roman"/>
          <w:sz w:val="24"/>
          <w:szCs w:val="24"/>
        </w:rPr>
        <w:tab/>
        <w:t xml:space="preserve">  1.09</w:t>
      </w:r>
      <w:r w:rsidRPr="000002F4">
        <w:rPr>
          <w:rFonts w:ascii="Times New Roman" w:hAnsi="Times New Roman" w:cs="Times New Roman"/>
          <w:sz w:val="24"/>
          <w:szCs w:val="24"/>
        </w:rPr>
        <w:tab/>
      </w:r>
      <w:r w:rsidRPr="000002F4">
        <w:rPr>
          <w:rFonts w:ascii="Times New Roman" w:hAnsi="Times New Roman" w:cs="Times New Roman"/>
          <w:sz w:val="24"/>
          <w:szCs w:val="24"/>
        </w:rPr>
        <w:tab/>
      </w:r>
      <w:r w:rsidRPr="000002F4">
        <w:rPr>
          <w:rFonts w:ascii="Times New Roman" w:hAnsi="Times New Roman" w:cs="Times New Roman"/>
          <w:sz w:val="24"/>
          <w:szCs w:val="24"/>
        </w:rPr>
        <w:tab/>
        <w:t xml:space="preserve">  1.40</w:t>
      </w:r>
      <w:r w:rsidRPr="000002F4">
        <w:rPr>
          <w:rFonts w:ascii="Times New Roman" w:hAnsi="Times New Roman" w:cs="Times New Roman"/>
          <w:b/>
          <w:sz w:val="24"/>
          <w:szCs w:val="24"/>
        </w:rPr>
        <w:br/>
      </w:r>
      <w:r w:rsidRPr="000002F4">
        <w:rPr>
          <w:rFonts w:ascii="Times New Roman" w:hAnsi="Times New Roman" w:cs="Times New Roman"/>
          <w:b/>
          <w:sz w:val="24"/>
          <w:szCs w:val="24"/>
        </w:rPr>
        <w:br/>
        <w:t>Measures of Downside Risk:</w:t>
      </w:r>
    </w:p>
    <w:p w:rsidR="000002F4" w:rsidRPr="000002F4" w:rsidRDefault="000002F4" w:rsidP="000002F4">
      <w:pPr>
        <w:rPr>
          <w:rFonts w:ascii="Times New Roman" w:hAnsi="Times New Roman" w:cs="Times New Roman"/>
          <w:sz w:val="24"/>
          <w:szCs w:val="24"/>
        </w:rPr>
      </w:pPr>
      <w:r w:rsidRPr="000002F4">
        <w:rPr>
          <w:rFonts w:ascii="Times New Roman" w:hAnsi="Times New Roman" w:cs="Times New Roman"/>
          <w:sz w:val="24"/>
          <w:szCs w:val="24"/>
        </w:rPr>
        <w:t>Shortfall risk</w:t>
      </w:r>
      <w:r w:rsidRPr="000002F4">
        <w:rPr>
          <w:rFonts w:ascii="Times New Roman" w:hAnsi="Times New Roman" w:cs="Times New Roman"/>
          <w:sz w:val="24"/>
          <w:szCs w:val="24"/>
        </w:rPr>
        <w:tab/>
      </w:r>
      <w:r w:rsidRPr="000002F4">
        <w:rPr>
          <w:rFonts w:ascii="Times New Roman" w:hAnsi="Times New Roman" w:cs="Times New Roman"/>
          <w:sz w:val="24"/>
          <w:szCs w:val="24"/>
        </w:rPr>
        <w:tab/>
      </w:r>
      <w:r w:rsidRPr="000002F4">
        <w:rPr>
          <w:rFonts w:ascii="Times New Roman" w:hAnsi="Times New Roman" w:cs="Times New Roman"/>
          <w:sz w:val="24"/>
          <w:szCs w:val="24"/>
        </w:rPr>
        <w:tab/>
        <w:t>35.00%</w:t>
      </w:r>
      <w:r w:rsidRPr="000002F4">
        <w:rPr>
          <w:rFonts w:ascii="Times New Roman" w:hAnsi="Times New Roman" w:cs="Times New Roman"/>
          <w:sz w:val="24"/>
          <w:szCs w:val="24"/>
        </w:rPr>
        <w:br/>
        <w:t>Downside Deviation</w:t>
      </w:r>
      <w:r w:rsidRPr="000002F4">
        <w:rPr>
          <w:rFonts w:ascii="Times New Roman" w:hAnsi="Times New Roman" w:cs="Times New Roman"/>
          <w:sz w:val="24"/>
          <w:szCs w:val="24"/>
        </w:rPr>
        <w:tab/>
      </w:r>
      <w:r w:rsidRPr="000002F4">
        <w:rPr>
          <w:rFonts w:ascii="Times New Roman" w:hAnsi="Times New Roman" w:cs="Times New Roman"/>
          <w:sz w:val="24"/>
          <w:szCs w:val="24"/>
        </w:rPr>
        <w:tab/>
        <w:t>10.88%</w:t>
      </w:r>
      <w:r w:rsidRPr="000002F4">
        <w:rPr>
          <w:rFonts w:ascii="Times New Roman" w:hAnsi="Times New Roman" w:cs="Times New Roman"/>
          <w:sz w:val="24"/>
          <w:szCs w:val="24"/>
        </w:rPr>
        <w:br/>
        <w:t>Information Ratio</w:t>
      </w:r>
      <w:r w:rsidRPr="000002F4">
        <w:rPr>
          <w:rFonts w:ascii="Times New Roman" w:hAnsi="Times New Roman" w:cs="Times New Roman"/>
          <w:sz w:val="24"/>
          <w:szCs w:val="24"/>
        </w:rPr>
        <w:tab/>
      </w:r>
      <w:r w:rsidRPr="000002F4">
        <w:rPr>
          <w:rFonts w:ascii="Times New Roman" w:hAnsi="Times New Roman" w:cs="Times New Roman"/>
          <w:sz w:val="24"/>
          <w:szCs w:val="24"/>
        </w:rPr>
        <w:tab/>
        <w:t xml:space="preserve">  0.27</w:t>
      </w:r>
      <w:r w:rsidRPr="000002F4">
        <w:rPr>
          <w:rFonts w:ascii="Times New Roman" w:hAnsi="Times New Roman" w:cs="Times New Roman"/>
          <w:sz w:val="24"/>
          <w:szCs w:val="24"/>
        </w:rPr>
        <w:br/>
        <w:t>Sortino Ratio</w:t>
      </w:r>
      <w:r w:rsidRPr="000002F4">
        <w:rPr>
          <w:rFonts w:ascii="Times New Roman" w:hAnsi="Times New Roman" w:cs="Times New Roman"/>
          <w:sz w:val="24"/>
          <w:szCs w:val="24"/>
        </w:rPr>
        <w:tab/>
      </w:r>
      <w:r w:rsidRPr="000002F4">
        <w:rPr>
          <w:rFonts w:ascii="Times New Roman" w:hAnsi="Times New Roman" w:cs="Times New Roman"/>
          <w:sz w:val="24"/>
          <w:szCs w:val="24"/>
        </w:rPr>
        <w:tab/>
      </w:r>
      <w:r w:rsidRPr="000002F4">
        <w:rPr>
          <w:rFonts w:ascii="Times New Roman" w:hAnsi="Times New Roman" w:cs="Times New Roman"/>
          <w:sz w:val="24"/>
          <w:szCs w:val="24"/>
        </w:rPr>
        <w:tab/>
        <w:t xml:space="preserve">  0.23</w:t>
      </w:r>
      <w:r w:rsidRPr="000002F4">
        <w:rPr>
          <w:rFonts w:ascii="Times New Roman" w:hAnsi="Times New Roman" w:cs="Times New Roman"/>
          <w:sz w:val="24"/>
          <w:szCs w:val="24"/>
        </w:rPr>
        <w:br/>
      </w:r>
      <w:r w:rsidRPr="000002F4">
        <w:rPr>
          <w:rFonts w:ascii="Times New Roman" w:hAnsi="Times New Roman" w:cs="Times New Roman"/>
          <w:b/>
          <w:sz w:val="24"/>
          <w:szCs w:val="24"/>
        </w:rPr>
        <w:t>Beta</w:t>
      </w:r>
      <w:r w:rsidRPr="000002F4">
        <w:rPr>
          <w:rFonts w:ascii="Times New Roman" w:hAnsi="Times New Roman" w:cs="Times New Roman"/>
          <w:sz w:val="24"/>
          <w:szCs w:val="24"/>
        </w:rPr>
        <w:tab/>
      </w:r>
      <w:r w:rsidRPr="000002F4">
        <w:rPr>
          <w:rFonts w:ascii="Times New Roman" w:hAnsi="Times New Roman" w:cs="Times New Roman"/>
          <w:sz w:val="24"/>
          <w:szCs w:val="24"/>
        </w:rPr>
        <w:tab/>
      </w:r>
      <w:r w:rsidRPr="000002F4">
        <w:rPr>
          <w:rFonts w:ascii="Times New Roman" w:hAnsi="Times New Roman" w:cs="Times New Roman"/>
          <w:sz w:val="24"/>
          <w:szCs w:val="24"/>
        </w:rPr>
        <w:tab/>
      </w:r>
      <w:r w:rsidRPr="000002F4">
        <w:rPr>
          <w:rFonts w:ascii="Times New Roman" w:hAnsi="Times New Roman" w:cs="Times New Roman"/>
          <w:sz w:val="24"/>
          <w:szCs w:val="24"/>
        </w:rPr>
        <w:tab/>
        <w:t xml:space="preserve">    .79</w:t>
      </w:r>
    </w:p>
    <w:p w:rsidR="000002F4" w:rsidRDefault="000002F4" w:rsidP="004163DC">
      <w:pPr>
        <w:rPr>
          <w:rFonts w:ascii="Times New Roman" w:hAnsi="Times New Roman" w:cs="Times New Roman"/>
          <w:sz w:val="24"/>
          <w:szCs w:val="24"/>
        </w:rPr>
      </w:pPr>
    </w:p>
    <w:p w:rsidR="004163DC" w:rsidRDefault="004163DC" w:rsidP="004163DC">
      <w:pPr>
        <w:rPr>
          <w:rFonts w:ascii="Times New Roman" w:hAnsi="Times New Roman" w:cs="Times New Roman"/>
          <w:sz w:val="24"/>
          <w:szCs w:val="24"/>
        </w:rPr>
      </w:pPr>
      <w:r w:rsidRPr="004163DC">
        <w:rPr>
          <w:rFonts w:ascii="Times New Roman" w:hAnsi="Times New Roman" w:cs="Times New Roman"/>
          <w:sz w:val="24"/>
          <w:szCs w:val="24"/>
        </w:rPr>
        <w:t xml:space="preserve">The </w:t>
      </w:r>
      <w:r w:rsidRPr="000002F4">
        <w:rPr>
          <w:rFonts w:ascii="Times New Roman" w:hAnsi="Times New Roman" w:cs="Times New Roman"/>
          <w:b/>
          <w:sz w:val="24"/>
          <w:szCs w:val="24"/>
        </w:rPr>
        <w:t xml:space="preserve">average annual returns for the SBMVP and the DJIA are 14.32% and 11.85% </w:t>
      </w:r>
      <w:r w:rsidRPr="000002F4">
        <w:rPr>
          <w:rFonts w:ascii="Times New Roman" w:hAnsi="Times New Roman" w:cs="Times New Roman"/>
          <w:sz w:val="24"/>
          <w:szCs w:val="24"/>
        </w:rPr>
        <w:t xml:space="preserve">respectively. </w:t>
      </w:r>
      <w:r w:rsidRPr="004163DC">
        <w:rPr>
          <w:rFonts w:ascii="Times New Roman" w:hAnsi="Times New Roman" w:cs="Times New Roman"/>
          <w:sz w:val="24"/>
          <w:szCs w:val="24"/>
        </w:rPr>
        <w:t xml:space="preserve">  The </w:t>
      </w:r>
      <w:r w:rsidRPr="000002F4">
        <w:rPr>
          <w:rFonts w:ascii="Times New Roman" w:hAnsi="Times New Roman" w:cs="Times New Roman"/>
          <w:b/>
          <w:sz w:val="24"/>
          <w:szCs w:val="24"/>
        </w:rPr>
        <w:t xml:space="preserve">standard deviation of returns for the SBMVP and the DJIA are 15.68% and 16.60% </w:t>
      </w:r>
      <w:r w:rsidRPr="004163DC">
        <w:rPr>
          <w:rFonts w:ascii="Times New Roman" w:hAnsi="Times New Roman" w:cs="Times New Roman"/>
          <w:sz w:val="24"/>
          <w:szCs w:val="24"/>
        </w:rPr>
        <w:t>respectively.  Even after allowing 50 basis points per year in transaction costs, the SBMVP average annual returns are 1.97% per year greater than the 30-stock DJIA.</w:t>
      </w:r>
    </w:p>
    <w:p w:rsidR="00221EF3" w:rsidRDefault="006B324E" w:rsidP="006B324E">
      <w:pPr>
        <w:rPr>
          <w:rFonts w:ascii="Times New Roman" w:hAnsi="Times New Roman" w:cs="Times New Roman"/>
          <w:sz w:val="24"/>
          <w:szCs w:val="24"/>
        </w:rPr>
      </w:pPr>
      <w:r w:rsidRPr="006B324E">
        <w:rPr>
          <w:rFonts w:ascii="Times New Roman" w:hAnsi="Times New Roman" w:cs="Times New Roman"/>
          <w:b/>
          <w:sz w:val="24"/>
          <w:szCs w:val="24"/>
        </w:rPr>
        <w:t>Table 1</w:t>
      </w:r>
      <w:r w:rsidRPr="006B324E">
        <w:rPr>
          <w:rFonts w:ascii="Times New Roman" w:hAnsi="Times New Roman" w:cs="Times New Roman"/>
          <w:sz w:val="24"/>
          <w:szCs w:val="24"/>
        </w:rPr>
        <w:t xml:space="preserve"> also lists the </w:t>
      </w:r>
      <w:r w:rsidRPr="000002F4">
        <w:rPr>
          <w:rFonts w:ascii="Times New Roman" w:hAnsi="Times New Roman" w:cs="Times New Roman"/>
          <w:b/>
          <w:sz w:val="24"/>
          <w:szCs w:val="24"/>
        </w:rPr>
        <w:t>shortfall risk, downside deviation, information ratio, Sortino ratio and the Beta of the SB</w:t>
      </w:r>
      <w:r w:rsidR="00430196">
        <w:rPr>
          <w:rFonts w:ascii="Times New Roman" w:hAnsi="Times New Roman" w:cs="Times New Roman"/>
          <w:b/>
          <w:sz w:val="24"/>
          <w:szCs w:val="24"/>
        </w:rPr>
        <w:t>MV</w:t>
      </w:r>
      <w:r w:rsidRPr="000002F4">
        <w:rPr>
          <w:rFonts w:ascii="Times New Roman" w:hAnsi="Times New Roman" w:cs="Times New Roman"/>
          <w:b/>
          <w:sz w:val="24"/>
          <w:szCs w:val="24"/>
        </w:rPr>
        <w:t xml:space="preserve">P </w:t>
      </w:r>
      <w:r w:rsidRPr="00F14B70">
        <w:rPr>
          <w:rFonts w:ascii="Times New Roman" w:hAnsi="Times New Roman" w:cs="Times New Roman"/>
          <w:b/>
          <w:sz w:val="24"/>
          <w:szCs w:val="24"/>
        </w:rPr>
        <w:t>relative to the DJIA for the SBMVP</w:t>
      </w:r>
      <w:r w:rsidRPr="006B324E">
        <w:rPr>
          <w:rFonts w:ascii="Times New Roman" w:hAnsi="Times New Roman" w:cs="Times New Roman"/>
          <w:sz w:val="24"/>
          <w:szCs w:val="24"/>
        </w:rPr>
        <w:t xml:space="preserve">.  These values are 35.00%, 10.88%, 0.27, .23 and .79 respectively.  </w:t>
      </w:r>
    </w:p>
    <w:p w:rsidR="006B324E" w:rsidRDefault="006B324E" w:rsidP="006B324E">
      <w:pPr>
        <w:rPr>
          <w:rFonts w:ascii="Times New Roman" w:hAnsi="Times New Roman" w:cs="Times New Roman"/>
          <w:sz w:val="24"/>
          <w:szCs w:val="24"/>
        </w:rPr>
      </w:pPr>
      <w:r w:rsidRPr="006B324E">
        <w:rPr>
          <w:rFonts w:ascii="Times New Roman" w:hAnsi="Times New Roman" w:cs="Times New Roman"/>
          <w:sz w:val="24"/>
          <w:szCs w:val="24"/>
        </w:rPr>
        <w:t xml:space="preserve">The </w:t>
      </w:r>
      <w:r w:rsidRPr="00F14B70">
        <w:rPr>
          <w:rFonts w:ascii="Times New Roman" w:hAnsi="Times New Roman" w:cs="Times New Roman"/>
          <w:b/>
          <w:sz w:val="24"/>
          <w:szCs w:val="24"/>
        </w:rPr>
        <w:t>s</w:t>
      </w:r>
      <w:r w:rsidRPr="000002F4">
        <w:rPr>
          <w:rFonts w:ascii="Times New Roman" w:hAnsi="Times New Roman" w:cs="Times New Roman"/>
          <w:b/>
          <w:sz w:val="24"/>
          <w:szCs w:val="24"/>
        </w:rPr>
        <w:t>hortfall risk value of 35</w:t>
      </w:r>
      <w:r w:rsidR="00221EF3" w:rsidRPr="000002F4">
        <w:rPr>
          <w:rFonts w:ascii="Times New Roman" w:hAnsi="Times New Roman" w:cs="Times New Roman"/>
          <w:b/>
          <w:sz w:val="24"/>
          <w:szCs w:val="24"/>
        </w:rPr>
        <w:t xml:space="preserve">% </w:t>
      </w:r>
      <w:r w:rsidR="00221EF3">
        <w:rPr>
          <w:rFonts w:ascii="Times New Roman" w:hAnsi="Times New Roman" w:cs="Times New Roman"/>
          <w:sz w:val="24"/>
          <w:szCs w:val="24"/>
        </w:rPr>
        <w:t xml:space="preserve">indicates </w:t>
      </w:r>
      <w:r w:rsidRPr="006B324E">
        <w:rPr>
          <w:rFonts w:ascii="Times New Roman" w:hAnsi="Times New Roman" w:cs="Times New Roman"/>
          <w:sz w:val="24"/>
          <w:szCs w:val="24"/>
        </w:rPr>
        <w:t xml:space="preserve">the relative frequency of a fund earning a return below the DJIA rate of return.  The </w:t>
      </w:r>
      <w:r w:rsidRPr="000002F4">
        <w:rPr>
          <w:rFonts w:ascii="Times New Roman" w:hAnsi="Times New Roman" w:cs="Times New Roman"/>
          <w:b/>
          <w:sz w:val="24"/>
          <w:szCs w:val="24"/>
        </w:rPr>
        <w:t>downside deviation value of 10.88%</w:t>
      </w:r>
      <w:r w:rsidRPr="006B324E">
        <w:rPr>
          <w:rFonts w:ascii="Times New Roman" w:hAnsi="Times New Roman" w:cs="Times New Roman"/>
          <w:sz w:val="24"/>
          <w:szCs w:val="24"/>
        </w:rPr>
        <w:t xml:space="preserve"> is measured in units of return.  A lower downside deviation indicates a l</w:t>
      </w:r>
      <w:r w:rsidRPr="000002F4">
        <w:rPr>
          <w:rFonts w:ascii="Times New Roman" w:hAnsi="Times New Roman" w:cs="Times New Roman"/>
          <w:b/>
          <w:sz w:val="24"/>
          <w:szCs w:val="24"/>
        </w:rPr>
        <w:t>ower volatility below the target DJIA returns</w:t>
      </w:r>
      <w:r w:rsidR="00221EF3" w:rsidRPr="000002F4">
        <w:rPr>
          <w:rFonts w:ascii="Times New Roman" w:hAnsi="Times New Roman" w:cs="Times New Roman"/>
          <w:b/>
          <w:sz w:val="24"/>
          <w:szCs w:val="24"/>
        </w:rPr>
        <w:t xml:space="preserve"> than the overall vola</w:t>
      </w:r>
      <w:r w:rsidR="000002F4" w:rsidRPr="000002F4">
        <w:rPr>
          <w:rFonts w:ascii="Times New Roman" w:hAnsi="Times New Roman" w:cs="Times New Roman"/>
          <w:b/>
          <w:sz w:val="24"/>
          <w:szCs w:val="24"/>
        </w:rPr>
        <w:t>tility of th</w:t>
      </w:r>
      <w:r w:rsidR="00430196">
        <w:rPr>
          <w:rFonts w:ascii="Times New Roman" w:hAnsi="Times New Roman" w:cs="Times New Roman"/>
          <w:b/>
          <w:sz w:val="24"/>
          <w:szCs w:val="24"/>
        </w:rPr>
        <w:t>e SBM</w:t>
      </w:r>
      <w:r w:rsidR="000002F4" w:rsidRPr="000002F4">
        <w:rPr>
          <w:rFonts w:ascii="Times New Roman" w:hAnsi="Times New Roman" w:cs="Times New Roman"/>
          <w:b/>
          <w:sz w:val="24"/>
          <w:szCs w:val="24"/>
        </w:rPr>
        <w:t>VP of 15.68%</w:t>
      </w:r>
      <w:r w:rsidR="000002F4">
        <w:rPr>
          <w:rFonts w:ascii="Times New Roman" w:hAnsi="Times New Roman" w:cs="Times New Roman"/>
          <w:sz w:val="24"/>
          <w:szCs w:val="24"/>
        </w:rPr>
        <w:t xml:space="preserve">.  </w:t>
      </w:r>
      <w:r w:rsidRPr="006B324E">
        <w:rPr>
          <w:rFonts w:ascii="Times New Roman" w:hAnsi="Times New Roman" w:cs="Times New Roman"/>
          <w:sz w:val="24"/>
          <w:szCs w:val="24"/>
        </w:rPr>
        <w:t xml:space="preserve">The </w:t>
      </w:r>
      <w:r w:rsidRPr="000002F4">
        <w:rPr>
          <w:rFonts w:ascii="Times New Roman" w:hAnsi="Times New Roman" w:cs="Times New Roman"/>
          <w:sz w:val="24"/>
          <w:szCs w:val="24"/>
        </w:rPr>
        <w:t xml:space="preserve">information ratio of .27 </w:t>
      </w:r>
      <w:r w:rsidRPr="006B324E">
        <w:rPr>
          <w:rFonts w:ascii="Times New Roman" w:hAnsi="Times New Roman" w:cs="Times New Roman"/>
          <w:sz w:val="24"/>
          <w:szCs w:val="24"/>
        </w:rPr>
        <w:t>indicates a measure of the benchmark relative return gained for taking o</w:t>
      </w:r>
      <w:r w:rsidR="000002F4">
        <w:rPr>
          <w:rFonts w:ascii="Times New Roman" w:hAnsi="Times New Roman" w:cs="Times New Roman"/>
          <w:sz w:val="24"/>
          <w:szCs w:val="24"/>
        </w:rPr>
        <w:t xml:space="preserve">n benchmark relative risk.  A </w:t>
      </w:r>
      <w:r w:rsidR="000002F4">
        <w:rPr>
          <w:rFonts w:ascii="Times New Roman" w:hAnsi="Times New Roman" w:cs="Times New Roman"/>
          <w:sz w:val="24"/>
          <w:szCs w:val="24"/>
        </w:rPr>
        <w:lastRenderedPageBreak/>
        <w:t>positive</w:t>
      </w:r>
      <w:r w:rsidRPr="006B324E">
        <w:rPr>
          <w:rFonts w:ascii="Times New Roman" w:hAnsi="Times New Roman" w:cs="Times New Roman"/>
          <w:sz w:val="24"/>
          <w:szCs w:val="24"/>
        </w:rPr>
        <w:t xml:space="preserve"> ratio means a higher level of different</w:t>
      </w:r>
      <w:r w:rsidR="00C12868">
        <w:rPr>
          <w:rFonts w:ascii="Times New Roman" w:hAnsi="Times New Roman" w:cs="Times New Roman"/>
          <w:sz w:val="24"/>
          <w:szCs w:val="24"/>
        </w:rPr>
        <w:t>ial return over the benchmark.</w:t>
      </w:r>
      <w:r w:rsidR="000002F4">
        <w:rPr>
          <w:rFonts w:ascii="Times New Roman" w:hAnsi="Times New Roman" w:cs="Times New Roman"/>
          <w:sz w:val="24"/>
          <w:szCs w:val="24"/>
        </w:rPr>
        <w:t xml:space="preserve">  </w:t>
      </w:r>
      <w:r w:rsidRPr="006B324E">
        <w:rPr>
          <w:rFonts w:ascii="Times New Roman" w:hAnsi="Times New Roman" w:cs="Times New Roman"/>
          <w:sz w:val="24"/>
          <w:szCs w:val="24"/>
        </w:rPr>
        <w:t xml:space="preserve">The </w:t>
      </w:r>
      <w:r w:rsidRPr="000002F4">
        <w:rPr>
          <w:rFonts w:ascii="Times New Roman" w:hAnsi="Times New Roman" w:cs="Times New Roman"/>
          <w:b/>
          <w:sz w:val="24"/>
          <w:szCs w:val="24"/>
        </w:rPr>
        <w:t>Sortino ratio of .23</w:t>
      </w:r>
      <w:r w:rsidRPr="006B324E">
        <w:rPr>
          <w:rFonts w:ascii="Times New Roman" w:hAnsi="Times New Roman" w:cs="Times New Roman"/>
          <w:sz w:val="24"/>
          <w:szCs w:val="24"/>
        </w:rPr>
        <w:t xml:space="preserve"> indicates that there is a positive annua</w:t>
      </w:r>
      <w:r w:rsidR="00221EF3">
        <w:rPr>
          <w:rFonts w:ascii="Times New Roman" w:hAnsi="Times New Roman" w:cs="Times New Roman"/>
          <w:sz w:val="24"/>
          <w:szCs w:val="24"/>
        </w:rPr>
        <w:t>l average difference between the SBMVP returns and the DJIA retu</w:t>
      </w:r>
      <w:r w:rsidR="00E82D55">
        <w:rPr>
          <w:rFonts w:ascii="Times New Roman" w:hAnsi="Times New Roman" w:cs="Times New Roman"/>
          <w:sz w:val="24"/>
          <w:szCs w:val="24"/>
        </w:rPr>
        <w:t>rns per unit of downside deviation</w:t>
      </w:r>
      <w:r w:rsidR="000002F4">
        <w:rPr>
          <w:rFonts w:ascii="Times New Roman" w:hAnsi="Times New Roman" w:cs="Times New Roman"/>
          <w:sz w:val="24"/>
          <w:szCs w:val="24"/>
        </w:rPr>
        <w:t xml:space="preserve">.  </w:t>
      </w:r>
      <w:r w:rsidRPr="00F14B70">
        <w:rPr>
          <w:rFonts w:ascii="Times New Roman" w:hAnsi="Times New Roman" w:cs="Times New Roman"/>
          <w:b/>
          <w:sz w:val="24"/>
          <w:szCs w:val="24"/>
        </w:rPr>
        <w:t>Empirical beta</w:t>
      </w:r>
      <w:r w:rsidRPr="006B324E">
        <w:rPr>
          <w:rFonts w:ascii="Times New Roman" w:hAnsi="Times New Roman" w:cs="Times New Roman"/>
          <w:sz w:val="24"/>
          <w:szCs w:val="24"/>
        </w:rPr>
        <w:t xml:space="preserve"> </w:t>
      </w:r>
      <w:r w:rsidR="000002F4">
        <w:rPr>
          <w:rFonts w:ascii="Times New Roman" w:hAnsi="Times New Roman" w:cs="Times New Roman"/>
          <w:sz w:val="24"/>
          <w:szCs w:val="24"/>
        </w:rPr>
        <w:t xml:space="preserve">in this study </w:t>
      </w:r>
      <w:r w:rsidRPr="006B324E">
        <w:rPr>
          <w:rFonts w:ascii="Times New Roman" w:hAnsi="Times New Roman" w:cs="Times New Roman"/>
          <w:sz w:val="24"/>
          <w:szCs w:val="24"/>
        </w:rPr>
        <w:t xml:space="preserve">is </w:t>
      </w:r>
      <w:r w:rsidR="000002F4">
        <w:rPr>
          <w:rFonts w:ascii="Times New Roman" w:hAnsi="Times New Roman" w:cs="Times New Roman"/>
          <w:sz w:val="24"/>
          <w:szCs w:val="24"/>
        </w:rPr>
        <w:t xml:space="preserve">presented as the sensitivity of the SBMVP </w:t>
      </w:r>
      <w:r w:rsidRPr="006B324E">
        <w:rPr>
          <w:rFonts w:ascii="Times New Roman" w:hAnsi="Times New Roman" w:cs="Times New Roman"/>
          <w:sz w:val="24"/>
          <w:szCs w:val="24"/>
        </w:rPr>
        <w:t>a portfolio’s retu</w:t>
      </w:r>
      <w:r w:rsidR="000002F4">
        <w:rPr>
          <w:rFonts w:ascii="Times New Roman" w:hAnsi="Times New Roman" w:cs="Times New Roman"/>
          <w:sz w:val="24"/>
          <w:szCs w:val="24"/>
        </w:rPr>
        <w:t xml:space="preserve">rns to the returns of the </w:t>
      </w:r>
      <w:r w:rsidRPr="006B324E">
        <w:rPr>
          <w:rFonts w:ascii="Times New Roman" w:hAnsi="Times New Roman" w:cs="Times New Roman"/>
          <w:sz w:val="24"/>
          <w:szCs w:val="24"/>
        </w:rPr>
        <w:t xml:space="preserve">DJIA.  The fact that the </w:t>
      </w:r>
      <w:r w:rsidR="000002F4">
        <w:rPr>
          <w:rFonts w:ascii="Times New Roman" w:hAnsi="Times New Roman" w:cs="Times New Roman"/>
          <w:sz w:val="24"/>
          <w:szCs w:val="24"/>
        </w:rPr>
        <w:t>e</w:t>
      </w:r>
      <w:r w:rsidR="000002F4" w:rsidRPr="000002F4">
        <w:rPr>
          <w:rFonts w:ascii="Times New Roman" w:hAnsi="Times New Roman" w:cs="Times New Roman"/>
          <w:b/>
          <w:sz w:val="24"/>
          <w:szCs w:val="24"/>
        </w:rPr>
        <w:t xml:space="preserve">mpirical </w:t>
      </w:r>
      <w:r w:rsidRPr="000002F4">
        <w:rPr>
          <w:rFonts w:ascii="Times New Roman" w:hAnsi="Times New Roman" w:cs="Times New Roman"/>
          <w:b/>
          <w:sz w:val="24"/>
          <w:szCs w:val="24"/>
        </w:rPr>
        <w:t>beta for the SB</w:t>
      </w:r>
      <w:r w:rsidR="000002F4" w:rsidRPr="000002F4">
        <w:rPr>
          <w:rFonts w:ascii="Times New Roman" w:hAnsi="Times New Roman" w:cs="Times New Roman"/>
          <w:b/>
          <w:sz w:val="24"/>
          <w:szCs w:val="24"/>
        </w:rPr>
        <w:t>MV</w:t>
      </w:r>
      <w:r w:rsidRPr="000002F4">
        <w:rPr>
          <w:rFonts w:ascii="Times New Roman" w:hAnsi="Times New Roman" w:cs="Times New Roman"/>
          <w:b/>
          <w:sz w:val="24"/>
          <w:szCs w:val="24"/>
        </w:rPr>
        <w:t>P strategy is .79</w:t>
      </w:r>
      <w:r w:rsidRPr="006B324E">
        <w:rPr>
          <w:rFonts w:ascii="Times New Roman" w:hAnsi="Times New Roman" w:cs="Times New Roman"/>
          <w:sz w:val="24"/>
          <w:szCs w:val="24"/>
        </w:rPr>
        <w:t xml:space="preserve"> over the s</w:t>
      </w:r>
      <w:r>
        <w:rPr>
          <w:rFonts w:ascii="Times New Roman" w:hAnsi="Times New Roman" w:cs="Times New Roman"/>
          <w:sz w:val="24"/>
          <w:szCs w:val="24"/>
        </w:rPr>
        <w:t xml:space="preserve">tudy period indicates the </w:t>
      </w:r>
      <w:r w:rsidRPr="006B324E">
        <w:rPr>
          <w:rFonts w:ascii="Times New Roman" w:hAnsi="Times New Roman" w:cs="Times New Roman"/>
          <w:sz w:val="24"/>
          <w:szCs w:val="24"/>
        </w:rPr>
        <w:t>SB</w:t>
      </w:r>
      <w:r>
        <w:rPr>
          <w:rFonts w:ascii="Times New Roman" w:hAnsi="Times New Roman" w:cs="Times New Roman"/>
          <w:sz w:val="24"/>
          <w:szCs w:val="24"/>
        </w:rPr>
        <w:t>M</w:t>
      </w:r>
      <w:r w:rsidR="00F14B70">
        <w:rPr>
          <w:rFonts w:ascii="Times New Roman" w:hAnsi="Times New Roman" w:cs="Times New Roman"/>
          <w:sz w:val="24"/>
          <w:szCs w:val="24"/>
        </w:rPr>
        <w:t>VP</w:t>
      </w:r>
      <w:r w:rsidRPr="006B324E">
        <w:rPr>
          <w:rFonts w:ascii="Times New Roman" w:hAnsi="Times New Roman" w:cs="Times New Roman"/>
          <w:sz w:val="24"/>
          <w:szCs w:val="24"/>
        </w:rPr>
        <w:t xml:space="preserve"> provides a lower level of systematic risk relative to the DJIA from which it is derived while providing higher overall average annual returns, less risk per unit of return (coefficient of variation) and less downside risk.</w:t>
      </w:r>
    </w:p>
    <w:p w:rsidR="000002F4" w:rsidRDefault="000002F4" w:rsidP="006B324E">
      <w:pPr>
        <w:rPr>
          <w:rFonts w:ascii="Times New Roman" w:hAnsi="Times New Roman" w:cs="Times New Roman"/>
          <w:b/>
          <w:sz w:val="24"/>
          <w:szCs w:val="24"/>
        </w:rPr>
      </w:pPr>
    </w:p>
    <w:p w:rsidR="000002F4" w:rsidRDefault="000002F4" w:rsidP="006B324E">
      <w:pPr>
        <w:rPr>
          <w:rFonts w:ascii="Times New Roman" w:hAnsi="Times New Roman" w:cs="Times New Roman"/>
          <w:sz w:val="24"/>
          <w:szCs w:val="24"/>
        </w:rPr>
      </w:pPr>
      <w:r>
        <w:rPr>
          <w:rFonts w:ascii="Times New Roman" w:hAnsi="Times New Roman" w:cs="Times New Roman"/>
          <w:b/>
          <w:sz w:val="24"/>
          <w:szCs w:val="24"/>
        </w:rPr>
        <w:t>2</w:t>
      </w:r>
      <w:r w:rsidR="0054662B" w:rsidRPr="00F64714">
        <w:rPr>
          <w:rFonts w:ascii="Times New Roman" w:hAnsi="Times New Roman" w:cs="Times New Roman"/>
          <w:b/>
          <w:sz w:val="24"/>
          <w:szCs w:val="24"/>
        </w:rPr>
        <w:t>.</w:t>
      </w:r>
      <w:r w:rsidR="0054662B">
        <w:rPr>
          <w:rFonts w:ascii="Times New Roman" w:hAnsi="Times New Roman" w:cs="Times New Roman"/>
          <w:sz w:val="24"/>
          <w:szCs w:val="24"/>
        </w:rPr>
        <w:t xml:space="preserve">  </w:t>
      </w:r>
      <w:r w:rsidR="006B324E" w:rsidRPr="000002F4">
        <w:rPr>
          <w:rFonts w:ascii="Times New Roman" w:hAnsi="Times New Roman" w:cs="Times New Roman"/>
          <w:b/>
          <w:sz w:val="24"/>
          <w:szCs w:val="24"/>
        </w:rPr>
        <w:t xml:space="preserve">Table 5 </w:t>
      </w:r>
      <w:r w:rsidR="006B324E" w:rsidRPr="000002F4">
        <w:rPr>
          <w:rFonts w:ascii="Times New Roman" w:hAnsi="Times New Roman" w:cs="Times New Roman"/>
          <w:sz w:val="24"/>
          <w:szCs w:val="24"/>
        </w:rPr>
        <w:t xml:space="preserve">lists the </w:t>
      </w:r>
      <w:r w:rsidR="006B324E" w:rsidRPr="000002F4">
        <w:rPr>
          <w:rFonts w:ascii="Times New Roman" w:hAnsi="Times New Roman" w:cs="Times New Roman"/>
          <w:b/>
          <w:sz w:val="24"/>
          <w:szCs w:val="24"/>
        </w:rPr>
        <w:t xml:space="preserve">shortfall risk, downside deviation, </w:t>
      </w:r>
      <w:r w:rsidR="00221EF3" w:rsidRPr="000002F4">
        <w:rPr>
          <w:rFonts w:ascii="Times New Roman" w:hAnsi="Times New Roman" w:cs="Times New Roman"/>
          <w:b/>
          <w:sz w:val="24"/>
          <w:szCs w:val="24"/>
        </w:rPr>
        <w:t xml:space="preserve">information ratio </w:t>
      </w:r>
      <w:r w:rsidR="006B324E" w:rsidRPr="000002F4">
        <w:rPr>
          <w:rFonts w:ascii="Times New Roman" w:hAnsi="Times New Roman" w:cs="Times New Roman"/>
          <w:b/>
          <w:sz w:val="24"/>
          <w:szCs w:val="24"/>
        </w:rPr>
        <w:t>and the Sortino ratio</w:t>
      </w:r>
      <w:r w:rsidR="006B324E" w:rsidRPr="000002F4">
        <w:rPr>
          <w:rFonts w:ascii="Times New Roman" w:hAnsi="Times New Roman" w:cs="Times New Roman"/>
          <w:sz w:val="24"/>
          <w:szCs w:val="24"/>
        </w:rPr>
        <w:t xml:space="preserve"> </w:t>
      </w:r>
      <w:r w:rsidR="006B324E" w:rsidRPr="00F14B70">
        <w:rPr>
          <w:rFonts w:ascii="Times New Roman" w:hAnsi="Times New Roman" w:cs="Times New Roman"/>
          <w:b/>
          <w:sz w:val="24"/>
          <w:szCs w:val="24"/>
        </w:rPr>
        <w:t>relative to a target return of 0 percent (no loss) for the SBMVP and DJIA</w:t>
      </w:r>
      <w:r w:rsidR="006B324E" w:rsidRPr="006B324E">
        <w:rPr>
          <w:rFonts w:ascii="Times New Roman" w:hAnsi="Times New Roman" w:cs="Times New Roman"/>
          <w:sz w:val="24"/>
          <w:szCs w:val="24"/>
        </w:rPr>
        <w:t xml:space="preserve">.  </w:t>
      </w:r>
    </w:p>
    <w:p w:rsidR="000002F4" w:rsidRPr="000002F4" w:rsidRDefault="000002F4" w:rsidP="000002F4">
      <w:pPr>
        <w:rPr>
          <w:rFonts w:ascii="Times New Roman" w:hAnsi="Times New Roman" w:cs="Times New Roman"/>
          <w:sz w:val="24"/>
          <w:szCs w:val="24"/>
        </w:rPr>
      </w:pPr>
      <w:r w:rsidRPr="000002F4">
        <w:rPr>
          <w:rFonts w:ascii="Times New Roman" w:hAnsi="Times New Roman" w:cs="Times New Roman"/>
          <w:b/>
          <w:sz w:val="24"/>
          <w:szCs w:val="24"/>
        </w:rPr>
        <w:t>Table 5</w:t>
      </w:r>
      <w:r w:rsidRPr="000002F4">
        <w:rPr>
          <w:rFonts w:ascii="Times New Roman" w:hAnsi="Times New Roman" w:cs="Times New Roman"/>
          <w:b/>
          <w:sz w:val="24"/>
          <w:szCs w:val="24"/>
        </w:rPr>
        <w:br/>
        <w:t>Downside Risk Measures for SBMVP and DJIA</w:t>
      </w:r>
      <w:r w:rsidRPr="000002F4">
        <w:rPr>
          <w:rFonts w:ascii="Times New Roman" w:hAnsi="Times New Roman" w:cs="Times New Roman"/>
          <w:b/>
          <w:sz w:val="24"/>
          <w:szCs w:val="24"/>
        </w:rPr>
        <w:br/>
        <w:t>Target Return = 0</w:t>
      </w:r>
    </w:p>
    <w:p w:rsidR="000002F4" w:rsidRPr="000002F4" w:rsidRDefault="000002F4" w:rsidP="000002F4">
      <w:pPr>
        <w:rPr>
          <w:rFonts w:ascii="Times New Roman" w:hAnsi="Times New Roman" w:cs="Times New Roman"/>
          <w:b/>
          <w:sz w:val="24"/>
          <w:szCs w:val="24"/>
        </w:rPr>
      </w:pPr>
      <w:r w:rsidRPr="000002F4">
        <w:rPr>
          <w:rFonts w:ascii="Times New Roman" w:hAnsi="Times New Roman" w:cs="Times New Roman"/>
          <w:b/>
          <w:sz w:val="24"/>
          <w:szCs w:val="24"/>
        </w:rPr>
        <w:t>Measures of Downside Risk SBMVP vs Target = 0</w:t>
      </w:r>
    </w:p>
    <w:p w:rsidR="000002F4" w:rsidRPr="000002F4" w:rsidRDefault="000002F4" w:rsidP="000002F4">
      <w:pPr>
        <w:rPr>
          <w:rFonts w:ascii="Times New Roman" w:hAnsi="Times New Roman" w:cs="Times New Roman"/>
          <w:sz w:val="24"/>
          <w:szCs w:val="24"/>
        </w:rPr>
      </w:pPr>
      <w:r w:rsidRPr="000002F4">
        <w:rPr>
          <w:rFonts w:ascii="Times New Roman" w:hAnsi="Times New Roman" w:cs="Times New Roman"/>
          <w:sz w:val="24"/>
          <w:szCs w:val="24"/>
        </w:rPr>
        <w:t>Shortfall risk</w:t>
      </w:r>
      <w:r w:rsidRPr="000002F4">
        <w:rPr>
          <w:rFonts w:ascii="Times New Roman" w:hAnsi="Times New Roman" w:cs="Times New Roman"/>
          <w:sz w:val="24"/>
          <w:szCs w:val="24"/>
        </w:rPr>
        <w:tab/>
      </w:r>
      <w:r w:rsidRPr="000002F4">
        <w:rPr>
          <w:rFonts w:ascii="Times New Roman" w:hAnsi="Times New Roman" w:cs="Times New Roman"/>
          <w:sz w:val="24"/>
          <w:szCs w:val="24"/>
        </w:rPr>
        <w:tab/>
      </w:r>
      <w:r w:rsidRPr="000002F4">
        <w:rPr>
          <w:rFonts w:ascii="Times New Roman" w:hAnsi="Times New Roman" w:cs="Times New Roman"/>
          <w:sz w:val="24"/>
          <w:szCs w:val="24"/>
        </w:rPr>
        <w:tab/>
        <w:t>10.00%</w:t>
      </w:r>
      <w:r w:rsidRPr="000002F4">
        <w:rPr>
          <w:rFonts w:ascii="Times New Roman" w:hAnsi="Times New Roman" w:cs="Times New Roman"/>
          <w:sz w:val="24"/>
          <w:szCs w:val="24"/>
        </w:rPr>
        <w:br/>
        <w:t>Downside Deviation</w:t>
      </w:r>
      <w:r w:rsidRPr="000002F4">
        <w:rPr>
          <w:rFonts w:ascii="Times New Roman" w:hAnsi="Times New Roman" w:cs="Times New Roman"/>
          <w:sz w:val="24"/>
          <w:szCs w:val="24"/>
        </w:rPr>
        <w:tab/>
      </w:r>
      <w:r w:rsidRPr="000002F4">
        <w:rPr>
          <w:rFonts w:ascii="Times New Roman" w:hAnsi="Times New Roman" w:cs="Times New Roman"/>
          <w:sz w:val="24"/>
          <w:szCs w:val="24"/>
        </w:rPr>
        <w:tab/>
        <w:t xml:space="preserve">  5.00%</w:t>
      </w:r>
      <w:r w:rsidRPr="000002F4">
        <w:rPr>
          <w:rFonts w:ascii="Times New Roman" w:hAnsi="Times New Roman" w:cs="Times New Roman"/>
          <w:sz w:val="24"/>
          <w:szCs w:val="24"/>
        </w:rPr>
        <w:br/>
        <w:t>Information Ratio</w:t>
      </w:r>
      <w:r w:rsidRPr="000002F4">
        <w:rPr>
          <w:rFonts w:ascii="Times New Roman" w:hAnsi="Times New Roman" w:cs="Times New Roman"/>
          <w:sz w:val="24"/>
          <w:szCs w:val="24"/>
        </w:rPr>
        <w:tab/>
      </w:r>
      <w:r w:rsidRPr="000002F4">
        <w:rPr>
          <w:rFonts w:ascii="Times New Roman" w:hAnsi="Times New Roman" w:cs="Times New Roman"/>
          <w:sz w:val="24"/>
          <w:szCs w:val="24"/>
        </w:rPr>
        <w:tab/>
        <w:t xml:space="preserve">  0.91</w:t>
      </w:r>
      <w:r w:rsidRPr="000002F4">
        <w:rPr>
          <w:rFonts w:ascii="Times New Roman" w:hAnsi="Times New Roman" w:cs="Times New Roman"/>
          <w:sz w:val="24"/>
          <w:szCs w:val="24"/>
        </w:rPr>
        <w:br/>
        <w:t>Sortino Ratio</w:t>
      </w:r>
      <w:r w:rsidRPr="000002F4">
        <w:rPr>
          <w:rFonts w:ascii="Times New Roman" w:hAnsi="Times New Roman" w:cs="Times New Roman"/>
          <w:sz w:val="24"/>
          <w:szCs w:val="24"/>
        </w:rPr>
        <w:tab/>
      </w:r>
      <w:r w:rsidRPr="000002F4">
        <w:rPr>
          <w:rFonts w:ascii="Times New Roman" w:hAnsi="Times New Roman" w:cs="Times New Roman"/>
          <w:sz w:val="24"/>
          <w:szCs w:val="24"/>
        </w:rPr>
        <w:tab/>
      </w:r>
      <w:r w:rsidRPr="000002F4">
        <w:rPr>
          <w:rFonts w:ascii="Times New Roman" w:hAnsi="Times New Roman" w:cs="Times New Roman"/>
          <w:sz w:val="24"/>
          <w:szCs w:val="24"/>
        </w:rPr>
        <w:tab/>
        <w:t xml:space="preserve">  2.86</w:t>
      </w:r>
    </w:p>
    <w:p w:rsidR="000002F4" w:rsidRPr="000002F4" w:rsidRDefault="000002F4" w:rsidP="000002F4">
      <w:pPr>
        <w:rPr>
          <w:rFonts w:ascii="Times New Roman" w:hAnsi="Times New Roman" w:cs="Times New Roman"/>
          <w:b/>
          <w:sz w:val="24"/>
          <w:szCs w:val="24"/>
        </w:rPr>
      </w:pPr>
      <w:r w:rsidRPr="000002F4">
        <w:rPr>
          <w:rFonts w:ascii="Times New Roman" w:hAnsi="Times New Roman" w:cs="Times New Roman"/>
          <w:b/>
          <w:sz w:val="24"/>
          <w:szCs w:val="24"/>
        </w:rPr>
        <w:t>Measures of Downside Risk DJIA vs Target = 0</w:t>
      </w:r>
    </w:p>
    <w:p w:rsidR="000002F4" w:rsidRPr="000002F4" w:rsidRDefault="000002F4" w:rsidP="000002F4">
      <w:pPr>
        <w:rPr>
          <w:rFonts w:ascii="Times New Roman" w:hAnsi="Times New Roman" w:cs="Times New Roman"/>
          <w:sz w:val="24"/>
          <w:szCs w:val="24"/>
        </w:rPr>
      </w:pPr>
      <w:r w:rsidRPr="000002F4">
        <w:rPr>
          <w:rFonts w:ascii="Times New Roman" w:hAnsi="Times New Roman" w:cs="Times New Roman"/>
          <w:sz w:val="24"/>
          <w:szCs w:val="24"/>
        </w:rPr>
        <w:t>Shortfall risk</w:t>
      </w:r>
      <w:r w:rsidRPr="000002F4">
        <w:rPr>
          <w:rFonts w:ascii="Times New Roman" w:hAnsi="Times New Roman" w:cs="Times New Roman"/>
          <w:sz w:val="24"/>
          <w:szCs w:val="24"/>
        </w:rPr>
        <w:tab/>
      </w:r>
      <w:r w:rsidRPr="000002F4">
        <w:rPr>
          <w:rFonts w:ascii="Times New Roman" w:hAnsi="Times New Roman" w:cs="Times New Roman"/>
          <w:sz w:val="24"/>
          <w:szCs w:val="24"/>
        </w:rPr>
        <w:tab/>
      </w:r>
      <w:r w:rsidRPr="000002F4">
        <w:rPr>
          <w:rFonts w:ascii="Times New Roman" w:hAnsi="Times New Roman" w:cs="Times New Roman"/>
          <w:sz w:val="24"/>
          <w:szCs w:val="24"/>
        </w:rPr>
        <w:tab/>
        <w:t>20.00%</w:t>
      </w:r>
      <w:r w:rsidRPr="000002F4">
        <w:rPr>
          <w:rFonts w:ascii="Times New Roman" w:hAnsi="Times New Roman" w:cs="Times New Roman"/>
          <w:sz w:val="24"/>
          <w:szCs w:val="24"/>
        </w:rPr>
        <w:br/>
        <w:t>Downside Deviation</w:t>
      </w:r>
      <w:r w:rsidRPr="000002F4">
        <w:rPr>
          <w:rFonts w:ascii="Times New Roman" w:hAnsi="Times New Roman" w:cs="Times New Roman"/>
          <w:sz w:val="24"/>
          <w:szCs w:val="24"/>
        </w:rPr>
        <w:tab/>
      </w:r>
      <w:r w:rsidRPr="000002F4">
        <w:rPr>
          <w:rFonts w:ascii="Times New Roman" w:hAnsi="Times New Roman" w:cs="Times New Roman"/>
          <w:sz w:val="24"/>
          <w:szCs w:val="24"/>
        </w:rPr>
        <w:tab/>
        <w:t xml:space="preserve">  8.06%</w:t>
      </w:r>
      <w:r w:rsidRPr="000002F4">
        <w:rPr>
          <w:rFonts w:ascii="Times New Roman" w:hAnsi="Times New Roman" w:cs="Times New Roman"/>
          <w:sz w:val="24"/>
          <w:szCs w:val="24"/>
        </w:rPr>
        <w:br/>
        <w:t>Information Ratio</w:t>
      </w:r>
      <w:r w:rsidRPr="000002F4">
        <w:rPr>
          <w:rFonts w:ascii="Times New Roman" w:hAnsi="Times New Roman" w:cs="Times New Roman"/>
          <w:sz w:val="24"/>
          <w:szCs w:val="24"/>
        </w:rPr>
        <w:tab/>
      </w:r>
      <w:r w:rsidRPr="000002F4">
        <w:rPr>
          <w:rFonts w:ascii="Times New Roman" w:hAnsi="Times New Roman" w:cs="Times New Roman"/>
          <w:sz w:val="24"/>
          <w:szCs w:val="24"/>
        </w:rPr>
        <w:tab/>
        <w:t xml:space="preserve">  0.71</w:t>
      </w:r>
      <w:r w:rsidRPr="000002F4">
        <w:rPr>
          <w:rFonts w:ascii="Times New Roman" w:hAnsi="Times New Roman" w:cs="Times New Roman"/>
          <w:sz w:val="24"/>
          <w:szCs w:val="24"/>
        </w:rPr>
        <w:br/>
        <w:t>Sortino Ratio</w:t>
      </w:r>
      <w:r w:rsidRPr="000002F4">
        <w:rPr>
          <w:rFonts w:ascii="Times New Roman" w:hAnsi="Times New Roman" w:cs="Times New Roman"/>
          <w:sz w:val="24"/>
          <w:szCs w:val="24"/>
        </w:rPr>
        <w:tab/>
      </w:r>
      <w:r w:rsidRPr="000002F4">
        <w:rPr>
          <w:rFonts w:ascii="Times New Roman" w:hAnsi="Times New Roman" w:cs="Times New Roman"/>
          <w:sz w:val="24"/>
          <w:szCs w:val="24"/>
        </w:rPr>
        <w:tab/>
      </w:r>
      <w:r w:rsidRPr="000002F4">
        <w:rPr>
          <w:rFonts w:ascii="Times New Roman" w:hAnsi="Times New Roman" w:cs="Times New Roman"/>
          <w:sz w:val="24"/>
          <w:szCs w:val="24"/>
        </w:rPr>
        <w:tab/>
        <w:t xml:space="preserve">  1.47</w:t>
      </w:r>
    </w:p>
    <w:p w:rsidR="000002F4" w:rsidRDefault="000002F4" w:rsidP="000002F4">
      <w:pPr>
        <w:rPr>
          <w:rFonts w:ascii="Times New Roman" w:hAnsi="Times New Roman" w:cs="Times New Roman"/>
          <w:sz w:val="24"/>
          <w:szCs w:val="24"/>
        </w:rPr>
      </w:pPr>
    </w:p>
    <w:p w:rsidR="006B324E" w:rsidRPr="006B324E" w:rsidRDefault="000002F4" w:rsidP="006B324E">
      <w:pPr>
        <w:rPr>
          <w:rFonts w:ascii="Times New Roman" w:hAnsi="Times New Roman" w:cs="Times New Roman"/>
          <w:sz w:val="24"/>
          <w:szCs w:val="24"/>
        </w:rPr>
      </w:pPr>
      <w:r w:rsidRPr="000002F4">
        <w:rPr>
          <w:rFonts w:ascii="Times New Roman" w:hAnsi="Times New Roman" w:cs="Times New Roman"/>
          <w:sz w:val="24"/>
          <w:szCs w:val="24"/>
        </w:rPr>
        <w:t>For the SBMVP, these values are 10.00%, 5.00%, .91</w:t>
      </w:r>
      <w:r>
        <w:rPr>
          <w:rFonts w:ascii="Times New Roman" w:hAnsi="Times New Roman" w:cs="Times New Roman"/>
          <w:sz w:val="24"/>
          <w:szCs w:val="24"/>
        </w:rPr>
        <w:t xml:space="preserve"> and 2.86 respectively.  T</w:t>
      </w:r>
      <w:r w:rsidR="006B324E" w:rsidRPr="006B324E">
        <w:rPr>
          <w:rFonts w:ascii="Times New Roman" w:hAnsi="Times New Roman" w:cs="Times New Roman"/>
          <w:sz w:val="24"/>
          <w:szCs w:val="24"/>
        </w:rPr>
        <w:t xml:space="preserve">he </w:t>
      </w:r>
      <w:r w:rsidR="006B324E" w:rsidRPr="000002F4">
        <w:rPr>
          <w:rFonts w:ascii="Times New Roman" w:hAnsi="Times New Roman" w:cs="Times New Roman"/>
          <w:b/>
          <w:sz w:val="24"/>
          <w:szCs w:val="24"/>
        </w:rPr>
        <w:t xml:space="preserve">shortfall risk value of 10% </w:t>
      </w:r>
      <w:r w:rsidR="006B324E" w:rsidRPr="006B324E">
        <w:rPr>
          <w:rFonts w:ascii="Times New Roman" w:hAnsi="Times New Roman" w:cs="Times New Roman"/>
          <w:sz w:val="24"/>
          <w:szCs w:val="24"/>
        </w:rPr>
        <w:t xml:space="preserve">indicates the percentage of annual returns of the SBMVP that fall below an annual return of 0% (a negative return or loss).  The </w:t>
      </w:r>
      <w:r w:rsidR="006B324E" w:rsidRPr="000002F4">
        <w:rPr>
          <w:rFonts w:ascii="Times New Roman" w:hAnsi="Times New Roman" w:cs="Times New Roman"/>
          <w:b/>
          <w:sz w:val="24"/>
          <w:szCs w:val="24"/>
        </w:rPr>
        <w:t>downside deviation value of 5.00%</w:t>
      </w:r>
      <w:r w:rsidR="006B324E" w:rsidRPr="006B324E">
        <w:rPr>
          <w:rFonts w:ascii="Times New Roman" w:hAnsi="Times New Roman" w:cs="Times New Roman"/>
          <w:sz w:val="24"/>
          <w:szCs w:val="24"/>
        </w:rPr>
        <w:t xml:space="preserve"> is measured in units of return.  A lower downside deviation indicates a lower volatility below the target return.  </w:t>
      </w:r>
      <w:r w:rsidR="00221EF3">
        <w:rPr>
          <w:rFonts w:ascii="Times New Roman" w:hAnsi="Times New Roman" w:cs="Times New Roman"/>
          <w:sz w:val="24"/>
          <w:szCs w:val="24"/>
        </w:rPr>
        <w:t>The</w:t>
      </w:r>
      <w:r>
        <w:rPr>
          <w:rFonts w:ascii="Times New Roman" w:hAnsi="Times New Roman" w:cs="Times New Roman"/>
          <w:b/>
          <w:sz w:val="24"/>
          <w:szCs w:val="24"/>
        </w:rPr>
        <w:t xml:space="preserve"> information ratio of .91 </w:t>
      </w:r>
      <w:r w:rsidRPr="000002F4">
        <w:rPr>
          <w:rFonts w:ascii="Times New Roman" w:hAnsi="Times New Roman" w:cs="Times New Roman"/>
          <w:sz w:val="24"/>
          <w:szCs w:val="24"/>
        </w:rPr>
        <w:t xml:space="preserve">is </w:t>
      </w:r>
      <w:r>
        <w:rPr>
          <w:rFonts w:ascii="Times New Roman" w:hAnsi="Times New Roman" w:cs="Times New Roman"/>
          <w:sz w:val="24"/>
          <w:szCs w:val="24"/>
        </w:rPr>
        <w:t xml:space="preserve">positive </w:t>
      </w:r>
      <w:r w:rsidR="00D43C10">
        <w:rPr>
          <w:rFonts w:ascii="Times New Roman" w:hAnsi="Times New Roman" w:cs="Times New Roman"/>
          <w:sz w:val="24"/>
          <w:szCs w:val="24"/>
        </w:rPr>
        <w:t>and much</w:t>
      </w:r>
      <w:r>
        <w:rPr>
          <w:rFonts w:ascii="Times New Roman" w:hAnsi="Times New Roman" w:cs="Times New Roman"/>
          <w:sz w:val="24"/>
          <w:szCs w:val="24"/>
        </w:rPr>
        <w:t xml:space="preserve"> the same as a Sharpe ratio since the target return is 0. The </w:t>
      </w:r>
      <w:r w:rsidR="006B324E" w:rsidRPr="000002F4">
        <w:rPr>
          <w:rFonts w:ascii="Times New Roman" w:hAnsi="Times New Roman" w:cs="Times New Roman"/>
          <w:b/>
          <w:sz w:val="24"/>
          <w:szCs w:val="24"/>
        </w:rPr>
        <w:t>Sortino ratio of 2.86</w:t>
      </w:r>
      <w:r w:rsidR="006B324E" w:rsidRPr="006B324E">
        <w:rPr>
          <w:rFonts w:ascii="Times New Roman" w:hAnsi="Times New Roman" w:cs="Times New Roman"/>
          <w:sz w:val="24"/>
          <w:szCs w:val="24"/>
        </w:rPr>
        <w:t xml:space="preserve"> </w:t>
      </w:r>
      <w:r>
        <w:rPr>
          <w:rFonts w:ascii="Times New Roman" w:hAnsi="Times New Roman" w:cs="Times New Roman"/>
          <w:sz w:val="24"/>
          <w:szCs w:val="24"/>
        </w:rPr>
        <w:t xml:space="preserve">indicates that there is </w:t>
      </w:r>
      <w:r w:rsidR="006B324E" w:rsidRPr="006B324E">
        <w:rPr>
          <w:rFonts w:ascii="Times New Roman" w:hAnsi="Times New Roman" w:cs="Times New Roman"/>
          <w:sz w:val="24"/>
          <w:szCs w:val="24"/>
        </w:rPr>
        <w:t>a positive annual average difference of</w:t>
      </w:r>
      <w:r>
        <w:rPr>
          <w:rFonts w:ascii="Times New Roman" w:hAnsi="Times New Roman" w:cs="Times New Roman"/>
          <w:sz w:val="24"/>
          <w:szCs w:val="24"/>
        </w:rPr>
        <w:t xml:space="preserve"> the fund and the target return of 0</w:t>
      </w:r>
      <w:r w:rsidR="00E82D55">
        <w:rPr>
          <w:rFonts w:ascii="Times New Roman" w:hAnsi="Times New Roman" w:cs="Times New Roman"/>
          <w:sz w:val="24"/>
          <w:szCs w:val="24"/>
        </w:rPr>
        <w:t xml:space="preserve"> per unit of downside deviation</w:t>
      </w:r>
      <w:r w:rsidR="006B324E" w:rsidRPr="006B324E">
        <w:rPr>
          <w:rFonts w:ascii="Times New Roman" w:hAnsi="Times New Roman" w:cs="Times New Roman"/>
          <w:sz w:val="24"/>
          <w:szCs w:val="24"/>
        </w:rPr>
        <w:t>.</w:t>
      </w:r>
    </w:p>
    <w:p w:rsidR="000002F4" w:rsidRDefault="000002F4" w:rsidP="00E4374C">
      <w:pPr>
        <w:rPr>
          <w:rFonts w:ascii="Times New Roman" w:hAnsi="Times New Roman" w:cs="Times New Roman"/>
          <w:b/>
          <w:sz w:val="24"/>
          <w:szCs w:val="24"/>
        </w:rPr>
      </w:pPr>
    </w:p>
    <w:p w:rsidR="000002F4" w:rsidRDefault="000002F4" w:rsidP="00E4374C">
      <w:pPr>
        <w:rPr>
          <w:rFonts w:ascii="Times New Roman" w:hAnsi="Times New Roman" w:cs="Times New Roman"/>
          <w:b/>
          <w:sz w:val="24"/>
          <w:szCs w:val="24"/>
        </w:rPr>
      </w:pPr>
    </w:p>
    <w:p w:rsidR="000002F4" w:rsidRDefault="006B324E" w:rsidP="00E4374C">
      <w:pPr>
        <w:rPr>
          <w:rFonts w:ascii="Times New Roman" w:hAnsi="Times New Roman" w:cs="Times New Roman"/>
          <w:sz w:val="24"/>
          <w:szCs w:val="24"/>
        </w:rPr>
      </w:pPr>
      <w:r w:rsidRPr="000002F4">
        <w:rPr>
          <w:rFonts w:ascii="Times New Roman" w:hAnsi="Times New Roman" w:cs="Times New Roman"/>
          <w:sz w:val="24"/>
          <w:szCs w:val="24"/>
        </w:rPr>
        <w:lastRenderedPageBreak/>
        <w:t>For the DJIA, thes</w:t>
      </w:r>
      <w:r w:rsidR="00221EF3" w:rsidRPr="000002F4">
        <w:rPr>
          <w:rFonts w:ascii="Times New Roman" w:hAnsi="Times New Roman" w:cs="Times New Roman"/>
          <w:sz w:val="24"/>
          <w:szCs w:val="24"/>
        </w:rPr>
        <w:t xml:space="preserve">e values are 20.00%, 8.06%, </w:t>
      </w:r>
      <w:r w:rsidRPr="000002F4">
        <w:rPr>
          <w:rFonts w:ascii="Times New Roman" w:hAnsi="Times New Roman" w:cs="Times New Roman"/>
          <w:sz w:val="24"/>
          <w:szCs w:val="24"/>
        </w:rPr>
        <w:t>.71</w:t>
      </w:r>
      <w:r w:rsidR="00221EF3" w:rsidRPr="000002F4">
        <w:rPr>
          <w:rFonts w:ascii="Times New Roman" w:hAnsi="Times New Roman" w:cs="Times New Roman"/>
          <w:sz w:val="24"/>
          <w:szCs w:val="24"/>
        </w:rPr>
        <w:t xml:space="preserve"> and 1.47</w:t>
      </w:r>
      <w:r w:rsidRPr="000002F4">
        <w:rPr>
          <w:rFonts w:ascii="Times New Roman" w:hAnsi="Times New Roman" w:cs="Times New Roman"/>
          <w:sz w:val="24"/>
          <w:szCs w:val="24"/>
        </w:rPr>
        <w:t xml:space="preserve"> respectively.</w:t>
      </w:r>
      <w:r w:rsidR="000002F4">
        <w:rPr>
          <w:rFonts w:ascii="Times New Roman" w:hAnsi="Times New Roman" w:cs="Times New Roman"/>
          <w:sz w:val="24"/>
          <w:szCs w:val="24"/>
        </w:rPr>
        <w:t xml:space="preserve">  </w:t>
      </w:r>
      <w:r w:rsidRPr="006B324E">
        <w:rPr>
          <w:rFonts w:ascii="Times New Roman" w:hAnsi="Times New Roman" w:cs="Times New Roman"/>
          <w:sz w:val="24"/>
          <w:szCs w:val="24"/>
        </w:rPr>
        <w:t xml:space="preserve">The </w:t>
      </w:r>
      <w:r w:rsidRPr="000002F4">
        <w:rPr>
          <w:rFonts w:ascii="Times New Roman" w:hAnsi="Times New Roman" w:cs="Times New Roman"/>
          <w:b/>
          <w:sz w:val="24"/>
          <w:szCs w:val="24"/>
        </w:rPr>
        <w:t>shortfall risk value of 20%</w:t>
      </w:r>
      <w:r w:rsidRPr="006B324E">
        <w:rPr>
          <w:rFonts w:ascii="Times New Roman" w:hAnsi="Times New Roman" w:cs="Times New Roman"/>
          <w:sz w:val="24"/>
          <w:szCs w:val="24"/>
        </w:rPr>
        <w:t xml:space="preserve"> is higher than that for the SBMVP strategy.  The </w:t>
      </w:r>
      <w:r w:rsidR="000002F4">
        <w:rPr>
          <w:rFonts w:ascii="Times New Roman" w:hAnsi="Times New Roman" w:cs="Times New Roman"/>
          <w:b/>
          <w:sz w:val="24"/>
          <w:szCs w:val="24"/>
        </w:rPr>
        <w:t>downside deviation value is</w:t>
      </w:r>
      <w:r w:rsidRPr="000002F4">
        <w:rPr>
          <w:rFonts w:ascii="Times New Roman" w:hAnsi="Times New Roman" w:cs="Times New Roman"/>
          <w:b/>
          <w:sz w:val="24"/>
          <w:szCs w:val="24"/>
        </w:rPr>
        <w:t xml:space="preserve"> 8.06</w:t>
      </w:r>
      <w:r w:rsidR="00221EF3" w:rsidRPr="000002F4">
        <w:rPr>
          <w:rFonts w:ascii="Times New Roman" w:hAnsi="Times New Roman" w:cs="Times New Roman"/>
          <w:b/>
          <w:sz w:val="24"/>
          <w:szCs w:val="24"/>
        </w:rPr>
        <w:t>%</w:t>
      </w:r>
      <w:r w:rsidR="000002F4">
        <w:rPr>
          <w:rFonts w:ascii="Times New Roman" w:hAnsi="Times New Roman" w:cs="Times New Roman"/>
          <w:sz w:val="24"/>
          <w:szCs w:val="24"/>
        </w:rPr>
        <w:t xml:space="preserve"> is higher than the SBMVP and</w:t>
      </w:r>
      <w:r w:rsidRPr="006B324E">
        <w:rPr>
          <w:rFonts w:ascii="Times New Roman" w:hAnsi="Times New Roman" w:cs="Times New Roman"/>
          <w:sz w:val="24"/>
          <w:szCs w:val="24"/>
        </w:rPr>
        <w:t xml:space="preserve"> indicates a higher downside volatility below the target return</w:t>
      </w:r>
      <w:r w:rsidR="00221EF3">
        <w:rPr>
          <w:rFonts w:ascii="Times New Roman" w:hAnsi="Times New Roman" w:cs="Times New Roman"/>
          <w:sz w:val="24"/>
          <w:szCs w:val="24"/>
        </w:rPr>
        <w:t xml:space="preserve"> of 0%</w:t>
      </w:r>
      <w:r w:rsidRPr="006B324E">
        <w:rPr>
          <w:rFonts w:ascii="Times New Roman" w:hAnsi="Times New Roman" w:cs="Times New Roman"/>
          <w:sz w:val="24"/>
          <w:szCs w:val="24"/>
        </w:rPr>
        <w:t xml:space="preserve">.  </w:t>
      </w:r>
      <w:r w:rsidR="00221EF3">
        <w:rPr>
          <w:rFonts w:ascii="Times New Roman" w:hAnsi="Times New Roman" w:cs="Times New Roman"/>
          <w:sz w:val="24"/>
          <w:szCs w:val="24"/>
        </w:rPr>
        <w:t xml:space="preserve">The </w:t>
      </w:r>
      <w:r w:rsidR="00221EF3" w:rsidRPr="000002F4">
        <w:rPr>
          <w:rFonts w:ascii="Times New Roman" w:hAnsi="Times New Roman" w:cs="Times New Roman"/>
          <w:b/>
          <w:sz w:val="24"/>
          <w:szCs w:val="24"/>
        </w:rPr>
        <w:t>information</w:t>
      </w:r>
      <w:r w:rsidRPr="000002F4">
        <w:rPr>
          <w:rFonts w:ascii="Times New Roman" w:hAnsi="Times New Roman" w:cs="Times New Roman"/>
          <w:b/>
          <w:sz w:val="24"/>
          <w:szCs w:val="24"/>
        </w:rPr>
        <w:t xml:space="preserve"> ratio of .71</w:t>
      </w:r>
      <w:r w:rsidRPr="006B324E">
        <w:rPr>
          <w:rFonts w:ascii="Times New Roman" w:hAnsi="Times New Roman" w:cs="Times New Roman"/>
          <w:sz w:val="24"/>
          <w:szCs w:val="24"/>
        </w:rPr>
        <w:t xml:space="preserve"> is lower than that for the SBMVP strategy and </w:t>
      </w:r>
      <w:r w:rsidR="000002F4">
        <w:rPr>
          <w:rFonts w:ascii="Times New Roman" w:hAnsi="Times New Roman" w:cs="Times New Roman"/>
          <w:sz w:val="24"/>
          <w:szCs w:val="24"/>
        </w:rPr>
        <w:t xml:space="preserve">is essentially a Sharpe ratio.  </w:t>
      </w:r>
      <w:r w:rsidR="004163DC" w:rsidRPr="004163DC">
        <w:rPr>
          <w:rFonts w:ascii="Times New Roman" w:hAnsi="Times New Roman" w:cs="Times New Roman"/>
          <w:sz w:val="24"/>
          <w:szCs w:val="24"/>
        </w:rPr>
        <w:t xml:space="preserve">The </w:t>
      </w:r>
      <w:r w:rsidR="004163DC" w:rsidRPr="000002F4">
        <w:rPr>
          <w:rFonts w:ascii="Times New Roman" w:hAnsi="Times New Roman" w:cs="Times New Roman"/>
          <w:b/>
          <w:sz w:val="24"/>
          <w:szCs w:val="24"/>
        </w:rPr>
        <w:t>Sortino ratio of 2.86 f</w:t>
      </w:r>
      <w:r w:rsidR="004163DC" w:rsidRPr="004163DC">
        <w:rPr>
          <w:rFonts w:ascii="Times New Roman" w:hAnsi="Times New Roman" w:cs="Times New Roman"/>
          <w:sz w:val="24"/>
          <w:szCs w:val="24"/>
        </w:rPr>
        <w:t xml:space="preserve">or the SBMVP relative to 1.47 for the DJIA indicates that there is a greater positive annual difference between the SBMVP and the target </w:t>
      </w:r>
      <w:r w:rsidR="00E82D55">
        <w:rPr>
          <w:rFonts w:ascii="Times New Roman" w:hAnsi="Times New Roman" w:cs="Times New Roman"/>
          <w:sz w:val="24"/>
          <w:szCs w:val="24"/>
        </w:rPr>
        <w:t>return per unit of downside deviation</w:t>
      </w:r>
      <w:r w:rsidR="004163DC" w:rsidRPr="004163DC">
        <w:rPr>
          <w:rFonts w:ascii="Times New Roman" w:hAnsi="Times New Roman" w:cs="Times New Roman"/>
          <w:sz w:val="24"/>
          <w:szCs w:val="24"/>
        </w:rPr>
        <w:t xml:space="preserve"> than that for the DJIA.  </w:t>
      </w:r>
    </w:p>
    <w:p w:rsidR="004163DC" w:rsidRPr="00C4191D" w:rsidRDefault="000002F4" w:rsidP="00E4374C">
      <w:pPr>
        <w:rPr>
          <w:rFonts w:ascii="Times New Roman" w:hAnsi="Times New Roman" w:cs="Times New Roman"/>
          <w:b/>
          <w:sz w:val="24"/>
          <w:szCs w:val="24"/>
        </w:rPr>
      </w:pPr>
      <w:r w:rsidRPr="00C4191D">
        <w:rPr>
          <w:rFonts w:ascii="Times New Roman" w:hAnsi="Times New Roman" w:cs="Times New Roman"/>
          <w:b/>
          <w:sz w:val="24"/>
          <w:szCs w:val="24"/>
        </w:rPr>
        <w:t>*</w:t>
      </w:r>
      <w:r w:rsidR="004163DC" w:rsidRPr="00C4191D">
        <w:rPr>
          <w:rFonts w:ascii="Times New Roman" w:hAnsi="Times New Roman" w:cs="Times New Roman"/>
          <w:b/>
          <w:sz w:val="24"/>
          <w:szCs w:val="24"/>
        </w:rPr>
        <w:t>All of these downside risk measures support the enhanced performance of the SBMVP relative to the larger DJIA.</w:t>
      </w:r>
    </w:p>
    <w:p w:rsidR="00D43C10" w:rsidRDefault="00D43C10" w:rsidP="00E4374C">
      <w:pPr>
        <w:rPr>
          <w:rFonts w:ascii="Times New Roman" w:hAnsi="Times New Roman" w:cs="Times New Roman"/>
          <w:b/>
          <w:sz w:val="24"/>
          <w:szCs w:val="24"/>
        </w:rPr>
      </w:pPr>
    </w:p>
    <w:p w:rsidR="00DC186C" w:rsidRDefault="00D43C10" w:rsidP="00E4374C">
      <w:pPr>
        <w:rPr>
          <w:rFonts w:ascii="Times New Roman" w:hAnsi="Times New Roman" w:cs="Times New Roman"/>
          <w:b/>
          <w:sz w:val="24"/>
          <w:szCs w:val="24"/>
        </w:rPr>
      </w:pPr>
      <w:r>
        <w:rPr>
          <w:rFonts w:ascii="Times New Roman" w:hAnsi="Times New Roman" w:cs="Times New Roman"/>
          <w:b/>
          <w:sz w:val="24"/>
          <w:szCs w:val="24"/>
        </w:rPr>
        <w:t>Disclaimers:</w:t>
      </w:r>
    </w:p>
    <w:p w:rsidR="000002F4" w:rsidRPr="00D43C10" w:rsidRDefault="00C4191D" w:rsidP="00C144DD">
      <w:pPr>
        <w:rPr>
          <w:rFonts w:ascii="Times New Roman" w:hAnsi="Times New Roman" w:cs="Times New Roman"/>
          <w:sz w:val="24"/>
          <w:szCs w:val="24"/>
        </w:rPr>
      </w:pPr>
      <w:bookmarkStart w:id="1" w:name="table1"/>
      <w:bookmarkEnd w:id="1"/>
      <w:r>
        <w:rPr>
          <w:rFonts w:ascii="Times New Roman" w:hAnsi="Times New Roman" w:cs="Times New Roman"/>
          <w:sz w:val="24"/>
          <w:szCs w:val="24"/>
        </w:rPr>
        <w:t xml:space="preserve">1.  </w:t>
      </w:r>
      <w:r w:rsidR="000002F4" w:rsidRPr="00D43C10">
        <w:rPr>
          <w:rFonts w:ascii="Times New Roman" w:hAnsi="Times New Roman" w:cs="Times New Roman"/>
          <w:sz w:val="24"/>
          <w:szCs w:val="24"/>
        </w:rPr>
        <w:t>It is acknowledge that weights constraints of other than 20 percent could provide better performance than is reported in this research.</w:t>
      </w:r>
    </w:p>
    <w:p w:rsidR="00E4374C" w:rsidRPr="00E4374C" w:rsidRDefault="00C4191D" w:rsidP="00E4374C">
      <w:pPr>
        <w:rPr>
          <w:rFonts w:ascii="Times New Roman" w:hAnsi="Times New Roman" w:cs="Times New Roman"/>
          <w:sz w:val="24"/>
          <w:szCs w:val="24"/>
        </w:rPr>
      </w:pPr>
      <w:r>
        <w:rPr>
          <w:rFonts w:ascii="Times New Roman" w:hAnsi="Times New Roman" w:cs="Times New Roman"/>
          <w:sz w:val="24"/>
          <w:szCs w:val="24"/>
        </w:rPr>
        <w:t xml:space="preserve">2.  </w:t>
      </w:r>
      <w:r w:rsidR="00E4374C" w:rsidRPr="00C144DD">
        <w:rPr>
          <w:rFonts w:ascii="Times New Roman" w:hAnsi="Times New Roman" w:cs="Times New Roman"/>
          <w:sz w:val="24"/>
          <w:szCs w:val="24"/>
        </w:rPr>
        <w:t>While the results of these calculations are shown to enhance portfolio performance in the period analyzed, it is important to realize that they rest on the assumption that historical relationships between individual assets and asset</w:t>
      </w:r>
      <w:r w:rsidR="00E4374C" w:rsidRPr="00E4374C">
        <w:rPr>
          <w:rFonts w:ascii="Times New Roman" w:hAnsi="Times New Roman" w:cs="Times New Roman"/>
          <w:sz w:val="24"/>
          <w:szCs w:val="24"/>
        </w:rPr>
        <w:t xml:space="preserve"> classes will hold in the future.  The time period used for col</w:t>
      </w:r>
      <w:r w:rsidR="00D43C10">
        <w:rPr>
          <w:rFonts w:ascii="Times New Roman" w:hAnsi="Times New Roman" w:cs="Times New Roman"/>
          <w:sz w:val="24"/>
          <w:szCs w:val="24"/>
        </w:rPr>
        <w:t xml:space="preserve">lecting investment returns can also impact the results of the </w:t>
      </w:r>
      <w:r w:rsidR="00E4374C" w:rsidRPr="00E4374C">
        <w:rPr>
          <w:rFonts w:ascii="Times New Roman" w:hAnsi="Times New Roman" w:cs="Times New Roman"/>
          <w:sz w:val="24"/>
          <w:szCs w:val="24"/>
        </w:rPr>
        <w:t>analysis.  Knowing the limitations of this kind of portfolio analysis is just as important as what it might tell you.</w:t>
      </w:r>
    </w:p>
    <w:p w:rsidR="00DB5CD0" w:rsidRDefault="00C4191D" w:rsidP="00DB5CD0">
      <w:pPr>
        <w:rPr>
          <w:rFonts w:ascii="Times New Roman" w:hAnsi="Times New Roman" w:cs="Times New Roman"/>
          <w:sz w:val="24"/>
          <w:szCs w:val="24"/>
        </w:rPr>
      </w:pPr>
      <w:r>
        <w:rPr>
          <w:rFonts w:ascii="Times New Roman" w:hAnsi="Times New Roman" w:cs="Times New Roman"/>
          <w:sz w:val="24"/>
          <w:szCs w:val="24"/>
        </w:rPr>
        <w:t xml:space="preserve">3.  </w:t>
      </w:r>
      <w:r w:rsidR="000002F4">
        <w:rPr>
          <w:rFonts w:ascii="Times New Roman" w:hAnsi="Times New Roman" w:cs="Times New Roman"/>
          <w:sz w:val="24"/>
          <w:szCs w:val="24"/>
        </w:rPr>
        <w:t xml:space="preserve">It is acknowledge that this </w:t>
      </w:r>
      <w:r w:rsidR="004163DC">
        <w:rPr>
          <w:rFonts w:ascii="Times New Roman" w:hAnsi="Times New Roman" w:cs="Times New Roman"/>
          <w:sz w:val="24"/>
          <w:szCs w:val="24"/>
        </w:rPr>
        <w:t xml:space="preserve">study focuses on the SBMVP </w:t>
      </w:r>
      <w:r w:rsidR="00F14B70">
        <w:rPr>
          <w:rFonts w:ascii="Times New Roman" w:hAnsi="Times New Roman" w:cs="Times New Roman"/>
          <w:sz w:val="24"/>
          <w:szCs w:val="24"/>
        </w:rPr>
        <w:t>strategy</w:t>
      </w:r>
      <w:r w:rsidR="001E1F4C">
        <w:rPr>
          <w:rFonts w:ascii="Times New Roman" w:hAnsi="Times New Roman" w:cs="Times New Roman"/>
          <w:sz w:val="24"/>
          <w:szCs w:val="24"/>
        </w:rPr>
        <w:t xml:space="preserve"> as applied to the DJI</w:t>
      </w:r>
      <w:r w:rsidR="00B2182D">
        <w:rPr>
          <w:rFonts w:ascii="Times New Roman" w:hAnsi="Times New Roman" w:cs="Times New Roman"/>
          <w:sz w:val="24"/>
          <w:szCs w:val="24"/>
        </w:rPr>
        <w:t>A</w:t>
      </w:r>
      <w:r w:rsidR="001E1F4C">
        <w:rPr>
          <w:rFonts w:ascii="Times New Roman" w:hAnsi="Times New Roman" w:cs="Times New Roman"/>
          <w:sz w:val="24"/>
          <w:szCs w:val="24"/>
        </w:rPr>
        <w:t>.  The technique of building</w:t>
      </w:r>
      <w:r w:rsidR="007159A0">
        <w:rPr>
          <w:rFonts w:ascii="Times New Roman" w:hAnsi="Times New Roman" w:cs="Times New Roman"/>
          <w:sz w:val="24"/>
          <w:szCs w:val="24"/>
        </w:rPr>
        <w:t xml:space="preserve"> SB</w:t>
      </w:r>
      <w:r w:rsidR="004163DC">
        <w:rPr>
          <w:rFonts w:ascii="Times New Roman" w:hAnsi="Times New Roman" w:cs="Times New Roman"/>
          <w:sz w:val="24"/>
          <w:szCs w:val="24"/>
        </w:rPr>
        <w:t>MV</w:t>
      </w:r>
      <w:r w:rsidR="007159A0">
        <w:rPr>
          <w:rFonts w:ascii="Times New Roman" w:hAnsi="Times New Roman" w:cs="Times New Roman"/>
          <w:sz w:val="24"/>
          <w:szCs w:val="24"/>
        </w:rPr>
        <w:t>P</w:t>
      </w:r>
      <w:r w:rsidR="00E4374C" w:rsidRPr="00E4374C">
        <w:rPr>
          <w:rFonts w:ascii="Times New Roman" w:hAnsi="Times New Roman" w:cs="Times New Roman"/>
          <w:sz w:val="24"/>
          <w:szCs w:val="24"/>
        </w:rPr>
        <w:t xml:space="preserve">s from </w:t>
      </w:r>
      <w:r w:rsidR="001E1F4C">
        <w:rPr>
          <w:rFonts w:ascii="Times New Roman" w:hAnsi="Times New Roman" w:cs="Times New Roman"/>
          <w:sz w:val="24"/>
          <w:szCs w:val="24"/>
        </w:rPr>
        <w:t xml:space="preserve">a subset of stocks in other indexes or </w:t>
      </w:r>
      <w:r w:rsidR="00E4374C" w:rsidRPr="00E4374C">
        <w:rPr>
          <w:rFonts w:ascii="Times New Roman" w:hAnsi="Times New Roman" w:cs="Times New Roman"/>
          <w:sz w:val="24"/>
          <w:szCs w:val="24"/>
        </w:rPr>
        <w:t xml:space="preserve">funds may or may not produce enhanced returns relative to the base fund.  </w:t>
      </w:r>
      <w:r w:rsidR="00DB5CD0">
        <w:rPr>
          <w:rFonts w:ascii="Times New Roman" w:hAnsi="Times New Roman" w:cs="Times New Roman"/>
          <w:sz w:val="24"/>
          <w:szCs w:val="24"/>
        </w:rPr>
        <w:t xml:space="preserve">  </w:t>
      </w:r>
    </w:p>
    <w:p w:rsidR="00C4191D" w:rsidRDefault="00C4191D" w:rsidP="00D43C10">
      <w:pPr>
        <w:rPr>
          <w:rFonts w:ascii="Times New Roman" w:hAnsi="Times New Roman" w:cs="Times New Roman"/>
          <w:sz w:val="24"/>
          <w:szCs w:val="24"/>
        </w:rPr>
      </w:pPr>
    </w:p>
    <w:p w:rsidR="00D43C10" w:rsidRDefault="00D43C10" w:rsidP="00875825">
      <w:pPr>
        <w:rPr>
          <w:rFonts w:ascii="Times New Roman" w:hAnsi="Times New Roman" w:cs="Times New Roman"/>
          <w:sz w:val="24"/>
          <w:szCs w:val="24"/>
        </w:rPr>
      </w:pPr>
    </w:p>
    <w:p w:rsidR="004A3342" w:rsidRDefault="004A3342" w:rsidP="00875825">
      <w:pPr>
        <w:rPr>
          <w:rFonts w:ascii="Times New Roman" w:hAnsi="Times New Roman" w:cs="Times New Roman"/>
          <w:sz w:val="24"/>
          <w:szCs w:val="24"/>
        </w:rPr>
      </w:pPr>
    </w:p>
    <w:p w:rsidR="004A3342" w:rsidRDefault="004A3342" w:rsidP="00875825">
      <w:pPr>
        <w:rPr>
          <w:rFonts w:ascii="Times New Roman" w:hAnsi="Times New Roman" w:cs="Times New Roman"/>
          <w:sz w:val="24"/>
          <w:szCs w:val="24"/>
        </w:rPr>
      </w:pPr>
    </w:p>
    <w:p w:rsidR="004A3342" w:rsidRDefault="004A3342" w:rsidP="00875825">
      <w:pPr>
        <w:rPr>
          <w:rFonts w:ascii="Times New Roman" w:hAnsi="Times New Roman" w:cs="Times New Roman"/>
          <w:sz w:val="24"/>
          <w:szCs w:val="24"/>
        </w:rPr>
      </w:pPr>
    </w:p>
    <w:p w:rsidR="004A3342" w:rsidRDefault="004A3342" w:rsidP="00875825">
      <w:pPr>
        <w:rPr>
          <w:rFonts w:ascii="Times New Roman" w:hAnsi="Times New Roman" w:cs="Times New Roman"/>
          <w:sz w:val="24"/>
          <w:szCs w:val="24"/>
        </w:rPr>
      </w:pPr>
    </w:p>
    <w:p w:rsidR="004A3342" w:rsidRDefault="004A3342" w:rsidP="00875825">
      <w:pPr>
        <w:rPr>
          <w:rFonts w:ascii="Times New Roman" w:hAnsi="Times New Roman" w:cs="Times New Roman"/>
          <w:sz w:val="24"/>
          <w:szCs w:val="24"/>
        </w:rPr>
      </w:pPr>
    </w:p>
    <w:p w:rsidR="004A3342" w:rsidRDefault="004A3342" w:rsidP="00875825">
      <w:pPr>
        <w:rPr>
          <w:rFonts w:ascii="Times New Roman" w:hAnsi="Times New Roman" w:cs="Times New Roman"/>
          <w:sz w:val="24"/>
          <w:szCs w:val="24"/>
        </w:rPr>
      </w:pPr>
    </w:p>
    <w:p w:rsidR="004A3342" w:rsidRDefault="004A3342" w:rsidP="00875825">
      <w:pPr>
        <w:rPr>
          <w:rFonts w:ascii="Times New Roman" w:hAnsi="Times New Roman" w:cs="Times New Roman"/>
          <w:sz w:val="24"/>
          <w:szCs w:val="24"/>
        </w:rPr>
      </w:pPr>
    </w:p>
    <w:p w:rsidR="004A3342" w:rsidRPr="004A3342" w:rsidRDefault="004A3342" w:rsidP="004A3342">
      <w:pPr>
        <w:rPr>
          <w:rFonts w:ascii="Times New Roman" w:hAnsi="Times New Roman" w:cs="Times New Roman"/>
          <w:b/>
          <w:sz w:val="24"/>
          <w:szCs w:val="24"/>
        </w:rPr>
      </w:pPr>
      <w:r w:rsidRPr="004A3342">
        <w:rPr>
          <w:rFonts w:ascii="Times New Roman" w:hAnsi="Times New Roman" w:cs="Times New Roman"/>
          <w:b/>
          <w:sz w:val="24"/>
          <w:szCs w:val="24"/>
        </w:rPr>
        <w:lastRenderedPageBreak/>
        <w:t>Using Solver in Excel to Find the Minimum Variance Portfolio</w:t>
      </w:r>
      <w:r w:rsidRPr="004A3342">
        <w:rPr>
          <w:rFonts w:ascii="Times New Roman" w:hAnsi="Times New Roman" w:cs="Times New Roman"/>
          <w:b/>
          <w:sz w:val="24"/>
          <w:szCs w:val="24"/>
        </w:rPr>
        <w:br/>
      </w:r>
    </w:p>
    <w:p w:rsidR="004A3342" w:rsidRPr="004A3342" w:rsidRDefault="004A3342" w:rsidP="004A3342">
      <w:pPr>
        <w:rPr>
          <w:rFonts w:ascii="Times New Roman" w:hAnsi="Times New Roman" w:cs="Times New Roman"/>
          <w:b/>
          <w:sz w:val="24"/>
          <w:szCs w:val="24"/>
        </w:rPr>
      </w:pPr>
      <w:r w:rsidRPr="004A3342">
        <w:rPr>
          <w:rFonts w:ascii="Times New Roman" w:hAnsi="Times New Roman" w:cs="Times New Roman"/>
          <w:sz w:val="24"/>
          <w:szCs w:val="24"/>
          <w:lang w:val="en"/>
        </w:rPr>
        <w:t>The</w:t>
      </w:r>
      <w:r w:rsidRPr="004A3342">
        <w:rPr>
          <w:rFonts w:ascii="Times New Roman" w:hAnsi="Times New Roman" w:cs="Times New Roman"/>
          <w:i/>
          <w:sz w:val="24"/>
          <w:szCs w:val="24"/>
          <w:lang w:val="en"/>
        </w:rPr>
        <w:t xml:space="preserve"> Solver</w:t>
      </w:r>
      <w:r w:rsidRPr="004A3342">
        <w:rPr>
          <w:rFonts w:ascii="Times New Roman" w:hAnsi="Times New Roman" w:cs="Times New Roman"/>
          <w:sz w:val="24"/>
          <w:szCs w:val="24"/>
          <w:lang w:val="en"/>
        </w:rPr>
        <w:t xml:space="preserve"> tool in Excel is used to implement mean variance optimization (MVO).  To implement MVO in Excel, we must first estimated expected annual returns and the covariance matrix for each set of stocks.  In our SBMVP strategy, the average annual historical returns over the previous eight years are used as a basis for the expected future returns for primary set of stocks in each fund.   By using these average historical annual returns as a basis for the expected future returns for these stocks, we are making the rather large assumption that these stocks will exhibit the same behavior going forward.  </w:t>
      </w:r>
    </w:p>
    <w:p w:rsidR="004A3342" w:rsidRPr="004A3342" w:rsidRDefault="004A3342" w:rsidP="004A3342">
      <w:pPr>
        <w:rPr>
          <w:rFonts w:ascii="Times New Roman" w:hAnsi="Times New Roman" w:cs="Times New Roman"/>
          <w:sz w:val="24"/>
          <w:szCs w:val="24"/>
          <w:lang w:val="en"/>
        </w:rPr>
      </w:pPr>
      <w:r w:rsidRPr="004A3342">
        <w:rPr>
          <w:rFonts w:ascii="Times New Roman" w:hAnsi="Times New Roman" w:cs="Times New Roman"/>
          <w:sz w:val="24"/>
          <w:szCs w:val="24"/>
          <w:lang w:val="en"/>
        </w:rPr>
        <w:t>Pairwise covariance estimates are needed for MVO.  Covariance is one measure of the degree to which the returns of two risky assets move in tandem.  A positive covariance means that asset returns move together, while a negative covariance means returns move inversely (in an opposite direction).  Based on the annual return data, we can use Excel’s covariance tool to set up a covariance matrix for multiple securities to see how the annual returns of these stocks have moved in relation to each other over the last seven years.</w:t>
      </w:r>
      <w:bookmarkStart w:id="2" w:name="2"/>
      <w:bookmarkEnd w:id="2"/>
      <w:r w:rsidRPr="004A3342">
        <w:rPr>
          <w:rFonts w:ascii="Times New Roman" w:hAnsi="Times New Roman" w:cs="Times New Roman"/>
          <w:sz w:val="24"/>
          <w:szCs w:val="24"/>
          <w:lang w:val="en"/>
        </w:rPr>
        <w:t xml:space="preserve"> To create the covariance matrix for our primary stocks, we click the Data Analysis button on the Data tab in Excel and choose Covariance from the list.  This launches the Covariance dialog box. We use the input range for the annual returns grouped by columns with the stock ticker symbols (labels) in the first row.</w:t>
      </w:r>
    </w:p>
    <w:p w:rsidR="004A3342" w:rsidRPr="004A3342" w:rsidRDefault="004A3342" w:rsidP="004A3342">
      <w:pPr>
        <w:rPr>
          <w:rFonts w:ascii="Times New Roman" w:hAnsi="Times New Roman" w:cs="Times New Roman"/>
          <w:sz w:val="24"/>
          <w:szCs w:val="24"/>
          <w:lang w:val="en"/>
        </w:rPr>
      </w:pPr>
      <w:r w:rsidRPr="004A3342">
        <w:rPr>
          <w:rFonts w:ascii="Times New Roman" w:hAnsi="Times New Roman" w:cs="Times New Roman"/>
          <w:sz w:val="24"/>
          <w:szCs w:val="24"/>
          <w:lang w:val="en"/>
        </w:rPr>
        <w:t xml:space="preserve">When you create a covariance matrix in this manner, half of the resulting table is empty.  This is because covariance matrices are symmetric, meaning that the cells in the upper diagonal would be a mirror image of those in the lower diagonal.  To fill in the entire covariance matrix, we use the matrix multiplication (MMULT) and transpose (TRANSPOSE) functions in conjunction with one another in Excel.  We first select the data range for the covariance matrix, this time </w:t>
      </w:r>
      <w:r w:rsidRPr="004A3342">
        <w:rPr>
          <w:rFonts w:ascii="Times New Roman" w:hAnsi="Times New Roman" w:cs="Times New Roman"/>
          <w:i/>
          <w:sz w:val="24"/>
          <w:szCs w:val="24"/>
          <w:lang w:val="en"/>
        </w:rPr>
        <w:t>not</w:t>
      </w:r>
      <w:r w:rsidRPr="004A3342">
        <w:rPr>
          <w:rFonts w:ascii="Times New Roman" w:hAnsi="Times New Roman" w:cs="Times New Roman"/>
          <w:sz w:val="24"/>
          <w:szCs w:val="24"/>
          <w:lang w:val="en"/>
        </w:rPr>
        <w:t xml:space="preserve"> including the row with the ticker symbols. After selecting this range, we enter the following formula:</w:t>
      </w:r>
    </w:p>
    <w:p w:rsidR="004A3342" w:rsidRPr="004A3342" w:rsidRDefault="004A3342" w:rsidP="004A3342">
      <w:pPr>
        <w:rPr>
          <w:rFonts w:ascii="Times New Roman" w:hAnsi="Times New Roman" w:cs="Times New Roman"/>
          <w:sz w:val="24"/>
          <w:szCs w:val="24"/>
          <w:lang w:val="en"/>
        </w:rPr>
      </w:pPr>
      <w:r w:rsidRPr="004A3342">
        <w:rPr>
          <w:rFonts w:ascii="Times New Roman" w:hAnsi="Times New Roman" w:cs="Times New Roman"/>
          <w:sz w:val="24"/>
          <w:szCs w:val="24"/>
          <w:lang w:val="en"/>
        </w:rPr>
        <w:t>=MMULT(TRANSPOSE(CellXX:CellYY–CellXA:CellYA),(CellXX:CellYY–CellXA:CellYA))/N</w:t>
      </w:r>
    </w:p>
    <w:p w:rsidR="004A3342" w:rsidRPr="004A3342" w:rsidRDefault="004A3342" w:rsidP="004A3342">
      <w:pPr>
        <w:rPr>
          <w:rFonts w:ascii="Times New Roman" w:hAnsi="Times New Roman" w:cs="Times New Roman"/>
          <w:sz w:val="24"/>
          <w:szCs w:val="24"/>
          <w:lang w:val="en"/>
        </w:rPr>
      </w:pPr>
      <w:r w:rsidRPr="004A3342">
        <w:rPr>
          <w:rFonts w:ascii="Times New Roman" w:hAnsi="Times New Roman" w:cs="Times New Roman"/>
          <w:sz w:val="24"/>
          <w:szCs w:val="24"/>
          <w:lang w:val="en"/>
        </w:rPr>
        <w:t>Where:</w:t>
      </w:r>
    </w:p>
    <w:p w:rsidR="004A3342" w:rsidRPr="004A3342" w:rsidRDefault="004A3342" w:rsidP="004A3342">
      <w:pPr>
        <w:rPr>
          <w:rFonts w:ascii="Times New Roman" w:hAnsi="Times New Roman" w:cs="Times New Roman"/>
          <w:sz w:val="24"/>
          <w:szCs w:val="24"/>
          <w:lang w:val="en"/>
        </w:rPr>
      </w:pPr>
      <w:r w:rsidRPr="004A3342">
        <w:rPr>
          <w:rFonts w:ascii="Times New Roman" w:hAnsi="Times New Roman" w:cs="Times New Roman"/>
          <w:sz w:val="24"/>
          <w:szCs w:val="24"/>
          <w:lang w:val="en"/>
        </w:rPr>
        <w:t xml:space="preserve"> • XX:YY is the data range (excluding the data label row) matrix containing the annual returns for the stocks in our portfolio</w:t>
      </w:r>
    </w:p>
    <w:p w:rsidR="004A3342" w:rsidRPr="004A3342" w:rsidRDefault="004A3342" w:rsidP="004A3342">
      <w:pPr>
        <w:rPr>
          <w:rFonts w:ascii="Times New Roman" w:hAnsi="Times New Roman" w:cs="Times New Roman"/>
          <w:sz w:val="24"/>
          <w:szCs w:val="24"/>
          <w:lang w:val="en"/>
        </w:rPr>
      </w:pPr>
      <w:r w:rsidRPr="004A3342">
        <w:rPr>
          <w:rFonts w:ascii="Times New Roman" w:hAnsi="Times New Roman" w:cs="Times New Roman"/>
          <w:sz w:val="24"/>
          <w:szCs w:val="24"/>
          <w:lang w:val="en"/>
        </w:rPr>
        <w:t>• XA:YA is the data range (row) of the average annual returns for the stocks in our portfolio; and</w:t>
      </w:r>
    </w:p>
    <w:p w:rsidR="004A3342" w:rsidRPr="004A3342" w:rsidRDefault="004A3342" w:rsidP="004A3342">
      <w:pPr>
        <w:rPr>
          <w:rFonts w:ascii="Times New Roman" w:hAnsi="Times New Roman" w:cs="Times New Roman"/>
          <w:sz w:val="24"/>
          <w:szCs w:val="24"/>
          <w:lang w:val="en"/>
        </w:rPr>
      </w:pPr>
      <w:r w:rsidRPr="004A3342">
        <w:rPr>
          <w:rFonts w:ascii="Times New Roman" w:hAnsi="Times New Roman" w:cs="Times New Roman"/>
          <w:sz w:val="24"/>
          <w:szCs w:val="24"/>
          <w:lang w:val="en"/>
        </w:rPr>
        <w:t>• N is the number of data points (years of annual return data) being used.</w:t>
      </w:r>
    </w:p>
    <w:p w:rsidR="004A3342" w:rsidRPr="004A3342" w:rsidRDefault="004A3342" w:rsidP="004A3342">
      <w:pPr>
        <w:rPr>
          <w:rFonts w:ascii="Times New Roman" w:hAnsi="Times New Roman" w:cs="Times New Roman"/>
          <w:sz w:val="24"/>
          <w:szCs w:val="24"/>
          <w:lang w:val="en"/>
        </w:rPr>
      </w:pPr>
      <w:r w:rsidRPr="004A3342">
        <w:rPr>
          <w:rFonts w:ascii="Times New Roman" w:hAnsi="Times New Roman" w:cs="Times New Roman"/>
          <w:sz w:val="24"/>
          <w:szCs w:val="24"/>
          <w:lang w:val="en"/>
        </w:rPr>
        <w:t xml:space="preserve">Once we have typed in this formula, we enter it using </w:t>
      </w:r>
      <w:r w:rsidRPr="004A3342">
        <w:rPr>
          <w:rFonts w:ascii="Times New Roman" w:hAnsi="Times New Roman" w:cs="Times New Roman"/>
          <w:i/>
          <w:sz w:val="24"/>
          <w:szCs w:val="24"/>
          <w:lang w:val="en"/>
        </w:rPr>
        <w:t>Shift+Ctrl+Enter;</w:t>
      </w:r>
      <w:r w:rsidRPr="004A3342">
        <w:rPr>
          <w:rFonts w:ascii="Times New Roman" w:hAnsi="Times New Roman" w:cs="Times New Roman"/>
          <w:sz w:val="24"/>
          <w:szCs w:val="24"/>
          <w:lang w:val="en"/>
        </w:rPr>
        <w:t xml:space="preserve"> otherwise, we will get a #VALUE error. When entered correctly, you get a completed covariance matrix.</w:t>
      </w:r>
    </w:p>
    <w:p w:rsidR="004A3342" w:rsidRPr="004A3342" w:rsidRDefault="004A3342" w:rsidP="004A3342">
      <w:pPr>
        <w:rPr>
          <w:rFonts w:ascii="Times New Roman" w:hAnsi="Times New Roman" w:cs="Times New Roman"/>
          <w:sz w:val="24"/>
          <w:szCs w:val="24"/>
          <w:lang w:val="en"/>
        </w:rPr>
      </w:pPr>
      <w:r w:rsidRPr="004A3342">
        <w:rPr>
          <w:rFonts w:ascii="Times New Roman" w:hAnsi="Times New Roman" w:cs="Times New Roman"/>
          <w:sz w:val="24"/>
          <w:szCs w:val="24"/>
          <w:lang w:val="en"/>
        </w:rPr>
        <w:lastRenderedPageBreak/>
        <w:t>Using our covariance matrix, we can calculate</w:t>
      </w:r>
      <w:r w:rsidR="00674712">
        <w:rPr>
          <w:rFonts w:ascii="Times New Roman" w:hAnsi="Times New Roman" w:cs="Times New Roman"/>
          <w:sz w:val="24"/>
          <w:szCs w:val="24"/>
          <w:lang w:val="en"/>
        </w:rPr>
        <w:t xml:space="preserve"> the </w:t>
      </w:r>
      <w:r w:rsidRPr="004A3342">
        <w:rPr>
          <w:rFonts w:ascii="Times New Roman" w:hAnsi="Times New Roman" w:cs="Times New Roman"/>
          <w:sz w:val="24"/>
          <w:szCs w:val="24"/>
          <w:lang w:val="en"/>
        </w:rPr>
        <w:t xml:space="preserve">SBMVP portfolio standard deviation by multiplying the average annual return for each of the primary stocks by the stock’s respective weighting in the portfolio as determined using the Excel </w:t>
      </w:r>
      <w:r w:rsidRPr="004A3342">
        <w:rPr>
          <w:rFonts w:ascii="Times New Roman" w:hAnsi="Times New Roman" w:cs="Times New Roman"/>
          <w:i/>
          <w:sz w:val="24"/>
          <w:szCs w:val="24"/>
          <w:lang w:val="en"/>
        </w:rPr>
        <w:t>Solver</w:t>
      </w:r>
      <w:r w:rsidRPr="004A3342">
        <w:rPr>
          <w:rFonts w:ascii="Times New Roman" w:hAnsi="Times New Roman" w:cs="Times New Roman"/>
          <w:sz w:val="24"/>
          <w:szCs w:val="24"/>
          <w:lang w:val="en"/>
        </w:rPr>
        <w:t xml:space="preserve"> function.  For example, using the weightings of the individual stocks in the portfolio and the covariance matrix, we can calculate the portfolio standard deviation with this formula: </w:t>
      </w:r>
    </w:p>
    <w:p w:rsidR="004A3342" w:rsidRPr="004A3342" w:rsidRDefault="004A3342" w:rsidP="004A3342">
      <w:pPr>
        <w:rPr>
          <w:rFonts w:ascii="Times New Roman" w:hAnsi="Times New Roman" w:cs="Times New Roman"/>
          <w:bCs/>
          <w:sz w:val="24"/>
          <w:szCs w:val="24"/>
          <w:lang w:val="en"/>
        </w:rPr>
      </w:pPr>
      <w:r w:rsidRPr="004A3342">
        <w:rPr>
          <w:rFonts w:ascii="Times New Roman" w:hAnsi="Times New Roman" w:cs="Times New Roman"/>
          <w:bCs/>
          <w:sz w:val="24"/>
          <w:szCs w:val="24"/>
          <w:lang w:val="en"/>
        </w:rPr>
        <w:t>=SQRT(MMULT(MMULT(TRANSPOSE(CellSA:CellSB),($Cell$EE:$Cell$FF),CellSA:CellSB))</w:t>
      </w:r>
    </w:p>
    <w:p w:rsidR="004A3342" w:rsidRPr="004A3342" w:rsidRDefault="004A3342" w:rsidP="004A3342">
      <w:pPr>
        <w:rPr>
          <w:rFonts w:ascii="Times New Roman" w:hAnsi="Times New Roman" w:cs="Times New Roman"/>
          <w:bCs/>
          <w:sz w:val="24"/>
          <w:szCs w:val="24"/>
          <w:lang w:val="en"/>
        </w:rPr>
      </w:pPr>
      <w:r w:rsidRPr="004A3342">
        <w:rPr>
          <w:rFonts w:ascii="Times New Roman" w:hAnsi="Times New Roman" w:cs="Times New Roman"/>
          <w:bCs/>
          <w:sz w:val="24"/>
          <w:szCs w:val="24"/>
          <w:lang w:val="en"/>
        </w:rPr>
        <w:t>Where:</w:t>
      </w:r>
    </w:p>
    <w:p w:rsidR="004A3342" w:rsidRPr="004A3342" w:rsidRDefault="004A3342" w:rsidP="004A3342">
      <w:pPr>
        <w:rPr>
          <w:rFonts w:ascii="Times New Roman" w:hAnsi="Times New Roman" w:cs="Times New Roman"/>
          <w:bCs/>
          <w:sz w:val="24"/>
          <w:szCs w:val="24"/>
          <w:lang w:val="en"/>
        </w:rPr>
      </w:pPr>
      <w:r w:rsidRPr="004A3342">
        <w:rPr>
          <w:rFonts w:ascii="Times New Roman" w:hAnsi="Times New Roman" w:cs="Times New Roman"/>
          <w:bCs/>
          <w:sz w:val="24"/>
          <w:szCs w:val="24"/>
          <w:lang w:val="en"/>
        </w:rPr>
        <w:t xml:space="preserve"> •SA:SB is the data range (column) for the stock weights as determined by </w:t>
      </w:r>
      <w:r w:rsidRPr="004A3342">
        <w:rPr>
          <w:rFonts w:ascii="Times New Roman" w:hAnsi="Times New Roman" w:cs="Times New Roman"/>
          <w:bCs/>
          <w:i/>
          <w:sz w:val="24"/>
          <w:szCs w:val="24"/>
          <w:lang w:val="en"/>
        </w:rPr>
        <w:t>Solver</w:t>
      </w:r>
      <w:r w:rsidRPr="004A3342">
        <w:rPr>
          <w:rFonts w:ascii="Times New Roman" w:hAnsi="Times New Roman" w:cs="Times New Roman"/>
          <w:bCs/>
          <w:sz w:val="24"/>
          <w:szCs w:val="24"/>
          <w:lang w:val="en"/>
        </w:rPr>
        <w:t>.</w:t>
      </w:r>
    </w:p>
    <w:p w:rsidR="004A3342" w:rsidRPr="004A3342" w:rsidRDefault="004A3342" w:rsidP="004A3342">
      <w:pPr>
        <w:rPr>
          <w:rFonts w:ascii="Times New Roman" w:hAnsi="Times New Roman" w:cs="Times New Roman"/>
          <w:bCs/>
          <w:sz w:val="24"/>
          <w:szCs w:val="24"/>
          <w:lang w:val="en"/>
        </w:rPr>
      </w:pPr>
      <w:r w:rsidRPr="004A3342">
        <w:rPr>
          <w:rFonts w:ascii="Times New Roman" w:hAnsi="Times New Roman" w:cs="Times New Roman"/>
          <w:bCs/>
          <w:sz w:val="24"/>
          <w:szCs w:val="24"/>
          <w:lang w:val="en"/>
        </w:rPr>
        <w:t xml:space="preserve"> • EE:FF is the data range (matrix) for the numerical values in the covariance matrix generated by </w:t>
      </w:r>
      <w:r w:rsidRPr="004A3342">
        <w:rPr>
          <w:rFonts w:ascii="Times New Roman" w:hAnsi="Times New Roman" w:cs="Times New Roman"/>
          <w:bCs/>
          <w:i/>
          <w:sz w:val="24"/>
          <w:szCs w:val="24"/>
          <w:lang w:val="en"/>
        </w:rPr>
        <w:t>Excel</w:t>
      </w:r>
      <w:r w:rsidRPr="004A3342">
        <w:rPr>
          <w:rFonts w:ascii="Times New Roman" w:hAnsi="Times New Roman" w:cs="Times New Roman"/>
          <w:bCs/>
          <w:sz w:val="24"/>
          <w:szCs w:val="24"/>
          <w:lang w:val="en"/>
        </w:rPr>
        <w:t>.</w:t>
      </w:r>
    </w:p>
    <w:p w:rsidR="004A3342" w:rsidRPr="004A3342" w:rsidRDefault="004A3342" w:rsidP="004A3342">
      <w:pPr>
        <w:rPr>
          <w:rFonts w:ascii="Times New Roman" w:hAnsi="Times New Roman" w:cs="Times New Roman"/>
          <w:sz w:val="24"/>
          <w:szCs w:val="24"/>
          <w:lang w:val="en"/>
        </w:rPr>
      </w:pPr>
      <w:r w:rsidRPr="004A3342">
        <w:rPr>
          <w:rFonts w:ascii="Times New Roman" w:hAnsi="Times New Roman" w:cs="Times New Roman"/>
          <w:sz w:val="24"/>
          <w:szCs w:val="24"/>
          <w:lang w:val="en"/>
        </w:rPr>
        <w:t xml:space="preserve">Once again, it is important to enter the formula for the portfolio standard deviation using </w:t>
      </w:r>
      <w:r w:rsidRPr="004A3342">
        <w:rPr>
          <w:rFonts w:ascii="Times New Roman" w:hAnsi="Times New Roman" w:cs="Times New Roman"/>
          <w:i/>
          <w:sz w:val="24"/>
          <w:szCs w:val="24"/>
          <w:lang w:val="en"/>
        </w:rPr>
        <w:t>Shift+Ctrl+Enter</w:t>
      </w:r>
      <w:r w:rsidRPr="004A3342">
        <w:rPr>
          <w:rFonts w:ascii="Times New Roman" w:hAnsi="Times New Roman" w:cs="Times New Roman"/>
          <w:sz w:val="24"/>
          <w:szCs w:val="24"/>
          <w:lang w:val="en"/>
        </w:rPr>
        <w:t>.  In effect, the formula multiplies the portfolio weights of one pair of stocks and their respective covariance and adds these products together for all the stock pairs and then takes the square root of the total to arrive at the portfolio standard deviation.</w:t>
      </w:r>
      <w:bookmarkStart w:id="3" w:name="3"/>
      <w:bookmarkEnd w:id="3"/>
    </w:p>
    <w:p w:rsidR="004A3342" w:rsidRPr="004A3342" w:rsidRDefault="004A3342" w:rsidP="004A3342">
      <w:pPr>
        <w:rPr>
          <w:rFonts w:ascii="Times New Roman" w:hAnsi="Times New Roman" w:cs="Times New Roman"/>
          <w:sz w:val="24"/>
          <w:szCs w:val="24"/>
          <w:lang w:val="en"/>
        </w:rPr>
      </w:pPr>
      <w:r w:rsidRPr="004A3342">
        <w:rPr>
          <w:rFonts w:ascii="Times New Roman" w:hAnsi="Times New Roman" w:cs="Times New Roman"/>
          <w:b/>
          <w:sz w:val="24"/>
          <w:szCs w:val="24"/>
          <w:lang w:val="en"/>
        </w:rPr>
        <w:t>Table 1</w:t>
      </w:r>
      <w:r w:rsidRPr="004A3342">
        <w:rPr>
          <w:rFonts w:ascii="Times New Roman" w:hAnsi="Times New Roman" w:cs="Times New Roman"/>
          <w:sz w:val="24"/>
          <w:szCs w:val="24"/>
          <w:lang w:val="en"/>
        </w:rPr>
        <w:t xml:space="preserve"> describes the necessary parameter values for Solver in determining the stock weights for the ex ante SBMVP.  To create the SBMVP for each of the funds using MVO and the list of primary stocks from each fund, we need to minimize the standard deviation cell (the target cell).  To do this we select the </w:t>
      </w:r>
      <w:r w:rsidRPr="004A3342">
        <w:rPr>
          <w:rFonts w:ascii="Times New Roman" w:hAnsi="Times New Roman" w:cs="Times New Roman"/>
          <w:i/>
          <w:sz w:val="24"/>
          <w:szCs w:val="24"/>
          <w:lang w:val="en"/>
        </w:rPr>
        <w:t>Min</w:t>
      </w:r>
      <w:r w:rsidRPr="004A3342">
        <w:rPr>
          <w:rFonts w:ascii="Times New Roman" w:hAnsi="Times New Roman" w:cs="Times New Roman"/>
          <w:sz w:val="24"/>
          <w:szCs w:val="24"/>
          <w:lang w:val="en"/>
        </w:rPr>
        <w:t xml:space="preserve"> button to the right of </w:t>
      </w:r>
      <w:r w:rsidRPr="004A3342">
        <w:rPr>
          <w:rFonts w:ascii="Times New Roman" w:hAnsi="Times New Roman" w:cs="Times New Roman"/>
          <w:i/>
          <w:sz w:val="24"/>
          <w:szCs w:val="24"/>
          <w:lang w:val="en"/>
        </w:rPr>
        <w:t>Equal To:</w:t>
      </w:r>
      <w:r w:rsidRPr="004A3342">
        <w:rPr>
          <w:rFonts w:ascii="Times New Roman" w:hAnsi="Times New Roman" w:cs="Times New Roman"/>
          <w:sz w:val="24"/>
          <w:szCs w:val="24"/>
          <w:lang w:val="en"/>
        </w:rPr>
        <w:t xml:space="preserve"> in the </w:t>
      </w:r>
      <w:r w:rsidRPr="004A3342">
        <w:rPr>
          <w:rFonts w:ascii="Times New Roman" w:hAnsi="Times New Roman" w:cs="Times New Roman"/>
          <w:i/>
          <w:sz w:val="24"/>
          <w:szCs w:val="24"/>
          <w:lang w:val="en"/>
        </w:rPr>
        <w:t xml:space="preserve">Solver </w:t>
      </w:r>
      <w:r w:rsidRPr="004A3342">
        <w:rPr>
          <w:rFonts w:ascii="Times New Roman" w:hAnsi="Times New Roman" w:cs="Times New Roman"/>
          <w:sz w:val="24"/>
          <w:szCs w:val="24"/>
          <w:lang w:val="en"/>
        </w:rPr>
        <w:t xml:space="preserve">Parameters box so that the </w:t>
      </w:r>
      <w:r w:rsidRPr="004A3342">
        <w:rPr>
          <w:rFonts w:ascii="Times New Roman" w:hAnsi="Times New Roman" w:cs="Times New Roman"/>
          <w:i/>
          <w:sz w:val="24"/>
          <w:szCs w:val="24"/>
          <w:lang w:val="en"/>
        </w:rPr>
        <w:t>Solver</w:t>
      </w:r>
      <w:r w:rsidRPr="004A3342">
        <w:rPr>
          <w:rFonts w:ascii="Times New Roman" w:hAnsi="Times New Roman" w:cs="Times New Roman"/>
          <w:sz w:val="24"/>
          <w:szCs w:val="24"/>
          <w:lang w:val="en"/>
        </w:rPr>
        <w:t xml:space="preserve"> tool will minimize the function in the target cell (in this case, the standard deviation of the SBMVP).  </w:t>
      </w:r>
      <w:r w:rsidRPr="004A3342">
        <w:rPr>
          <w:rFonts w:ascii="Times New Roman" w:hAnsi="Times New Roman" w:cs="Times New Roman"/>
          <w:i/>
          <w:sz w:val="24"/>
          <w:szCs w:val="24"/>
          <w:lang w:val="en"/>
        </w:rPr>
        <w:t>Solver</w:t>
      </w:r>
      <w:r w:rsidRPr="004A3342">
        <w:rPr>
          <w:rFonts w:ascii="Times New Roman" w:hAnsi="Times New Roman" w:cs="Times New Roman"/>
          <w:sz w:val="24"/>
          <w:szCs w:val="24"/>
          <w:lang w:val="en"/>
        </w:rPr>
        <w:t xml:space="preserve"> derives the minimum variance portfolio in our target cell by adjusting the weights of the primary stocks (CellSA:CellSB) subject to our constraints.  The first constraint is that the sum of the weights invested in the SBMVP stocks will equal 1.0 (100 percent).  Therefore, we click the </w:t>
      </w:r>
      <w:r w:rsidRPr="004A3342">
        <w:rPr>
          <w:rFonts w:ascii="Times New Roman" w:hAnsi="Times New Roman" w:cs="Times New Roman"/>
          <w:i/>
          <w:sz w:val="24"/>
          <w:szCs w:val="24"/>
          <w:lang w:val="en"/>
        </w:rPr>
        <w:t>Add</w:t>
      </w:r>
      <w:r w:rsidRPr="004A3342">
        <w:rPr>
          <w:rFonts w:ascii="Times New Roman" w:hAnsi="Times New Roman" w:cs="Times New Roman"/>
          <w:sz w:val="24"/>
          <w:szCs w:val="24"/>
          <w:lang w:val="en"/>
        </w:rPr>
        <w:t xml:space="preserve"> button in the </w:t>
      </w:r>
      <w:r w:rsidRPr="004A3342">
        <w:rPr>
          <w:rFonts w:ascii="Times New Roman" w:hAnsi="Times New Roman" w:cs="Times New Roman"/>
          <w:i/>
          <w:sz w:val="24"/>
          <w:szCs w:val="24"/>
          <w:lang w:val="en"/>
        </w:rPr>
        <w:t xml:space="preserve">Solver </w:t>
      </w:r>
      <w:r w:rsidRPr="004A3342">
        <w:rPr>
          <w:rFonts w:ascii="Times New Roman" w:hAnsi="Times New Roman" w:cs="Times New Roman"/>
          <w:sz w:val="24"/>
          <w:szCs w:val="24"/>
          <w:lang w:val="en"/>
        </w:rPr>
        <w:t xml:space="preserve">Parameters box and add the constraint in the sum of the weights cell box = 1.0.  Beyond the constraint that the security weights equal 1.0 (100 percent), we add the constraint requiring that each weighting determined by </w:t>
      </w:r>
      <w:r w:rsidRPr="004A3342">
        <w:rPr>
          <w:rFonts w:ascii="Times New Roman" w:hAnsi="Times New Roman" w:cs="Times New Roman"/>
          <w:i/>
          <w:sz w:val="24"/>
          <w:szCs w:val="24"/>
          <w:lang w:val="en"/>
        </w:rPr>
        <w:t>Solver</w:t>
      </w:r>
      <w:r w:rsidRPr="004A3342">
        <w:rPr>
          <w:rFonts w:ascii="Times New Roman" w:hAnsi="Times New Roman" w:cs="Times New Roman"/>
          <w:sz w:val="24"/>
          <w:szCs w:val="24"/>
          <w:lang w:val="en"/>
        </w:rPr>
        <w:t xml:space="preserve"> in the range CellSA:CellSB is greater than or equal to zero, to prohibit short selling.  In order to implement our small-basket approach, our next constraint caps the maximum weight for an individual stock at 20 percent (suggest a value between 10 and 20 percent to limit the number of resulting stocks in the SBMVP).  Click</w:t>
      </w:r>
      <w:r w:rsidRPr="004A3342">
        <w:rPr>
          <w:rFonts w:ascii="Times New Roman" w:hAnsi="Times New Roman" w:cs="Times New Roman"/>
          <w:i/>
          <w:sz w:val="24"/>
          <w:szCs w:val="24"/>
          <w:lang w:val="en"/>
        </w:rPr>
        <w:t xml:space="preserve"> OK </w:t>
      </w:r>
      <w:r w:rsidRPr="004A3342">
        <w:rPr>
          <w:rFonts w:ascii="Times New Roman" w:hAnsi="Times New Roman" w:cs="Times New Roman"/>
          <w:sz w:val="24"/>
          <w:szCs w:val="24"/>
          <w:lang w:val="en"/>
        </w:rPr>
        <w:t xml:space="preserve">and click on the </w:t>
      </w:r>
      <w:r w:rsidRPr="004A3342">
        <w:rPr>
          <w:rFonts w:ascii="Times New Roman" w:hAnsi="Times New Roman" w:cs="Times New Roman"/>
          <w:i/>
          <w:sz w:val="24"/>
          <w:szCs w:val="24"/>
          <w:lang w:val="en"/>
        </w:rPr>
        <w:t>Solve</w:t>
      </w:r>
      <w:r w:rsidRPr="004A3342">
        <w:rPr>
          <w:rFonts w:ascii="Times New Roman" w:hAnsi="Times New Roman" w:cs="Times New Roman"/>
          <w:sz w:val="24"/>
          <w:szCs w:val="24"/>
          <w:lang w:val="en"/>
        </w:rPr>
        <w:t xml:space="preserve"> button.  Looking at the range CellSA:CellSB, we see the weights of our primary stocks, as determined by </w:t>
      </w:r>
      <w:r w:rsidRPr="004A3342">
        <w:rPr>
          <w:rFonts w:ascii="Times New Roman" w:hAnsi="Times New Roman" w:cs="Times New Roman"/>
          <w:i/>
          <w:sz w:val="24"/>
          <w:szCs w:val="24"/>
          <w:lang w:val="en"/>
        </w:rPr>
        <w:t>Solver</w:t>
      </w:r>
      <w:r w:rsidRPr="004A3342">
        <w:rPr>
          <w:rFonts w:ascii="Times New Roman" w:hAnsi="Times New Roman" w:cs="Times New Roman"/>
          <w:sz w:val="24"/>
          <w:szCs w:val="24"/>
          <w:lang w:val="en"/>
        </w:rPr>
        <w:t>, that will give us the lowest possible standard deviation subject to our stated constraints, the SBMVP.</w:t>
      </w:r>
    </w:p>
    <w:p w:rsidR="004A3342" w:rsidRPr="004A3342" w:rsidRDefault="004A3342" w:rsidP="004A3342">
      <w:pPr>
        <w:rPr>
          <w:rFonts w:ascii="Times New Roman" w:hAnsi="Times New Roman" w:cs="Times New Roman"/>
          <w:sz w:val="24"/>
          <w:szCs w:val="24"/>
          <w:lang w:val="en"/>
        </w:rPr>
      </w:pPr>
      <w:r w:rsidRPr="004A3342">
        <w:rPr>
          <w:rFonts w:ascii="Times New Roman" w:hAnsi="Times New Roman" w:cs="Times New Roman"/>
          <w:sz w:val="24"/>
          <w:szCs w:val="24"/>
          <w:lang w:val="en"/>
        </w:rPr>
        <w:t xml:space="preserve">This process is continued in order to find the ex ante weights for the SBMVP for years 1995 through 2014.  For example, the ex ante portfolio for 1995 is constructed based on the stock weights from the ex post efficient portfolio derived using the historical return, standard deviation and correlation data from 1987–1994, the ex ante portfolio for 1996 is constructed based on ex </w:t>
      </w:r>
      <w:r w:rsidRPr="004A3342">
        <w:rPr>
          <w:rFonts w:ascii="Times New Roman" w:hAnsi="Times New Roman" w:cs="Times New Roman"/>
          <w:sz w:val="24"/>
          <w:szCs w:val="24"/>
          <w:lang w:val="en"/>
        </w:rPr>
        <w:lastRenderedPageBreak/>
        <w:t>post efficient portfolio derived using the data from 1988–1995, and so forth.  No short sales are allowed in the SBMVP strategy.  The ex ante portfolios further limits the weight in any on single stock to 20 percent of the portfolio.  As a result, the ex ante SBMVP generally contains only 5 to 10 stocks.</w:t>
      </w:r>
    </w:p>
    <w:p w:rsidR="004A3342" w:rsidRDefault="004A3342" w:rsidP="00875825">
      <w:pPr>
        <w:rPr>
          <w:rFonts w:ascii="Times New Roman" w:hAnsi="Times New Roman" w:cs="Times New Roman"/>
          <w:sz w:val="24"/>
          <w:szCs w:val="24"/>
        </w:rPr>
      </w:pPr>
    </w:p>
    <w:p w:rsidR="004A3342" w:rsidRDefault="004A3342" w:rsidP="00875825">
      <w:pPr>
        <w:rPr>
          <w:rFonts w:ascii="Times New Roman" w:hAnsi="Times New Roman" w:cs="Times New Roman"/>
          <w:sz w:val="24"/>
          <w:szCs w:val="24"/>
        </w:rPr>
      </w:pPr>
    </w:p>
    <w:p w:rsidR="004A3342" w:rsidRDefault="004A3342" w:rsidP="00875825">
      <w:pPr>
        <w:rPr>
          <w:rFonts w:ascii="Times New Roman" w:hAnsi="Times New Roman" w:cs="Times New Roman"/>
          <w:b/>
          <w:sz w:val="24"/>
          <w:szCs w:val="24"/>
        </w:rPr>
      </w:pPr>
    </w:p>
    <w:sectPr w:rsidR="004A33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1FF" w:rsidRDefault="00B321FF" w:rsidP="00E4374C">
      <w:pPr>
        <w:spacing w:after="0" w:line="240" w:lineRule="auto"/>
      </w:pPr>
      <w:r>
        <w:separator/>
      </w:r>
    </w:p>
  </w:endnote>
  <w:endnote w:type="continuationSeparator" w:id="0">
    <w:p w:rsidR="00B321FF" w:rsidRDefault="00B321FF" w:rsidP="00E43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1FF" w:rsidRDefault="00B321FF" w:rsidP="00E4374C">
      <w:pPr>
        <w:spacing w:after="0" w:line="240" w:lineRule="auto"/>
      </w:pPr>
      <w:r>
        <w:separator/>
      </w:r>
    </w:p>
  </w:footnote>
  <w:footnote w:type="continuationSeparator" w:id="0">
    <w:p w:rsidR="00B321FF" w:rsidRDefault="00B321FF" w:rsidP="00E437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A7F60"/>
    <w:multiLevelType w:val="hybridMultilevel"/>
    <w:tmpl w:val="C8726900"/>
    <w:lvl w:ilvl="0" w:tplc="EAA0888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4356C5"/>
    <w:multiLevelType w:val="multilevel"/>
    <w:tmpl w:val="34C6D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8A85C5B"/>
    <w:multiLevelType w:val="hybridMultilevel"/>
    <w:tmpl w:val="8416A49A"/>
    <w:lvl w:ilvl="0" w:tplc="5C2A4758">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9DA"/>
    <w:rsid w:val="000002F4"/>
    <w:rsid w:val="000019F4"/>
    <w:rsid w:val="00013DCC"/>
    <w:rsid w:val="000157AA"/>
    <w:rsid w:val="00016987"/>
    <w:rsid w:val="0001720C"/>
    <w:rsid w:val="00044433"/>
    <w:rsid w:val="000535E7"/>
    <w:rsid w:val="0006386E"/>
    <w:rsid w:val="000D253C"/>
    <w:rsid w:val="000D7F0D"/>
    <w:rsid w:val="000F79FF"/>
    <w:rsid w:val="00102F70"/>
    <w:rsid w:val="00105D6E"/>
    <w:rsid w:val="00141023"/>
    <w:rsid w:val="00142BF4"/>
    <w:rsid w:val="00153568"/>
    <w:rsid w:val="001612AC"/>
    <w:rsid w:val="0016286B"/>
    <w:rsid w:val="00192BB7"/>
    <w:rsid w:val="001D5042"/>
    <w:rsid w:val="001E1F4C"/>
    <w:rsid w:val="001E2376"/>
    <w:rsid w:val="001E6CBA"/>
    <w:rsid w:val="002019BB"/>
    <w:rsid w:val="002129DA"/>
    <w:rsid w:val="00221EF3"/>
    <w:rsid w:val="00246810"/>
    <w:rsid w:val="00247040"/>
    <w:rsid w:val="002778B0"/>
    <w:rsid w:val="00286397"/>
    <w:rsid w:val="00287584"/>
    <w:rsid w:val="002C1CC0"/>
    <w:rsid w:val="002F7244"/>
    <w:rsid w:val="003018C0"/>
    <w:rsid w:val="00331DFF"/>
    <w:rsid w:val="0037130B"/>
    <w:rsid w:val="003A18A1"/>
    <w:rsid w:val="003D0B8D"/>
    <w:rsid w:val="003F1CE2"/>
    <w:rsid w:val="003F6EAB"/>
    <w:rsid w:val="004163DC"/>
    <w:rsid w:val="00430196"/>
    <w:rsid w:val="00430825"/>
    <w:rsid w:val="00432025"/>
    <w:rsid w:val="004336E1"/>
    <w:rsid w:val="00466B6F"/>
    <w:rsid w:val="00470FCB"/>
    <w:rsid w:val="00473744"/>
    <w:rsid w:val="00491742"/>
    <w:rsid w:val="004A3342"/>
    <w:rsid w:val="004B0D8B"/>
    <w:rsid w:val="005106AA"/>
    <w:rsid w:val="00514F73"/>
    <w:rsid w:val="00526133"/>
    <w:rsid w:val="0054662B"/>
    <w:rsid w:val="00555932"/>
    <w:rsid w:val="0055726C"/>
    <w:rsid w:val="005738AD"/>
    <w:rsid w:val="005760BD"/>
    <w:rsid w:val="005B3598"/>
    <w:rsid w:val="005B77A2"/>
    <w:rsid w:val="005C19F7"/>
    <w:rsid w:val="005E556B"/>
    <w:rsid w:val="005E7AEE"/>
    <w:rsid w:val="005F38CA"/>
    <w:rsid w:val="005F7CD3"/>
    <w:rsid w:val="00606962"/>
    <w:rsid w:val="006175C5"/>
    <w:rsid w:val="0063152A"/>
    <w:rsid w:val="006347C4"/>
    <w:rsid w:val="00635AB6"/>
    <w:rsid w:val="00655FD1"/>
    <w:rsid w:val="00674712"/>
    <w:rsid w:val="0068334E"/>
    <w:rsid w:val="00687C64"/>
    <w:rsid w:val="006A6859"/>
    <w:rsid w:val="006A7243"/>
    <w:rsid w:val="006B324E"/>
    <w:rsid w:val="006B4C85"/>
    <w:rsid w:val="006C4E87"/>
    <w:rsid w:val="00713343"/>
    <w:rsid w:val="007159A0"/>
    <w:rsid w:val="007429DF"/>
    <w:rsid w:val="00745D9C"/>
    <w:rsid w:val="007542A1"/>
    <w:rsid w:val="00765C77"/>
    <w:rsid w:val="00767F69"/>
    <w:rsid w:val="00791443"/>
    <w:rsid w:val="007D4C82"/>
    <w:rsid w:val="007E0E29"/>
    <w:rsid w:val="0081748B"/>
    <w:rsid w:val="008454B5"/>
    <w:rsid w:val="00846DC5"/>
    <w:rsid w:val="00875825"/>
    <w:rsid w:val="008900DE"/>
    <w:rsid w:val="00890213"/>
    <w:rsid w:val="008B2304"/>
    <w:rsid w:val="008B5020"/>
    <w:rsid w:val="008B713F"/>
    <w:rsid w:val="008C04F1"/>
    <w:rsid w:val="008C0DF8"/>
    <w:rsid w:val="008F51F6"/>
    <w:rsid w:val="0090076B"/>
    <w:rsid w:val="009216D1"/>
    <w:rsid w:val="00930D54"/>
    <w:rsid w:val="009326DF"/>
    <w:rsid w:val="00943F56"/>
    <w:rsid w:val="00945EC4"/>
    <w:rsid w:val="00971CC4"/>
    <w:rsid w:val="00977104"/>
    <w:rsid w:val="00981C3B"/>
    <w:rsid w:val="009847C0"/>
    <w:rsid w:val="0099724F"/>
    <w:rsid w:val="009E2F97"/>
    <w:rsid w:val="009E4294"/>
    <w:rsid w:val="009F0EB1"/>
    <w:rsid w:val="00A138E9"/>
    <w:rsid w:val="00A157F5"/>
    <w:rsid w:val="00A23DCB"/>
    <w:rsid w:val="00A254CD"/>
    <w:rsid w:val="00A35015"/>
    <w:rsid w:val="00A42556"/>
    <w:rsid w:val="00A8149B"/>
    <w:rsid w:val="00A94850"/>
    <w:rsid w:val="00AA4375"/>
    <w:rsid w:val="00AA597D"/>
    <w:rsid w:val="00AC0852"/>
    <w:rsid w:val="00B02380"/>
    <w:rsid w:val="00B2182D"/>
    <w:rsid w:val="00B226DA"/>
    <w:rsid w:val="00B2596D"/>
    <w:rsid w:val="00B321FF"/>
    <w:rsid w:val="00B613DA"/>
    <w:rsid w:val="00B65840"/>
    <w:rsid w:val="00B85009"/>
    <w:rsid w:val="00B85FA6"/>
    <w:rsid w:val="00BA2661"/>
    <w:rsid w:val="00BC15F6"/>
    <w:rsid w:val="00BC64DA"/>
    <w:rsid w:val="00BD2C7B"/>
    <w:rsid w:val="00BF2737"/>
    <w:rsid w:val="00C12868"/>
    <w:rsid w:val="00C144DD"/>
    <w:rsid w:val="00C3457E"/>
    <w:rsid w:val="00C4191D"/>
    <w:rsid w:val="00C41F4E"/>
    <w:rsid w:val="00C41F9C"/>
    <w:rsid w:val="00C44B0B"/>
    <w:rsid w:val="00C55A7E"/>
    <w:rsid w:val="00C66346"/>
    <w:rsid w:val="00C734BC"/>
    <w:rsid w:val="00C80076"/>
    <w:rsid w:val="00C805D3"/>
    <w:rsid w:val="00C91AD2"/>
    <w:rsid w:val="00C95679"/>
    <w:rsid w:val="00CA2CC9"/>
    <w:rsid w:val="00CB118D"/>
    <w:rsid w:val="00CB7E19"/>
    <w:rsid w:val="00CC2E6E"/>
    <w:rsid w:val="00CD0417"/>
    <w:rsid w:val="00D0191F"/>
    <w:rsid w:val="00D0555B"/>
    <w:rsid w:val="00D079C4"/>
    <w:rsid w:val="00D214EA"/>
    <w:rsid w:val="00D3340C"/>
    <w:rsid w:val="00D41668"/>
    <w:rsid w:val="00D43C10"/>
    <w:rsid w:val="00D46E1A"/>
    <w:rsid w:val="00D52C25"/>
    <w:rsid w:val="00D765B3"/>
    <w:rsid w:val="00D87C18"/>
    <w:rsid w:val="00D93B73"/>
    <w:rsid w:val="00DB3F69"/>
    <w:rsid w:val="00DB5CD0"/>
    <w:rsid w:val="00DC186C"/>
    <w:rsid w:val="00DC39C9"/>
    <w:rsid w:val="00DC499B"/>
    <w:rsid w:val="00DC69C0"/>
    <w:rsid w:val="00E00C2C"/>
    <w:rsid w:val="00E20A02"/>
    <w:rsid w:val="00E21362"/>
    <w:rsid w:val="00E24B0A"/>
    <w:rsid w:val="00E35F7F"/>
    <w:rsid w:val="00E4374C"/>
    <w:rsid w:val="00E4718C"/>
    <w:rsid w:val="00E61BB4"/>
    <w:rsid w:val="00E676EE"/>
    <w:rsid w:val="00E754C9"/>
    <w:rsid w:val="00E82D55"/>
    <w:rsid w:val="00E85EB4"/>
    <w:rsid w:val="00E86DB8"/>
    <w:rsid w:val="00EB2E9A"/>
    <w:rsid w:val="00ED1C8A"/>
    <w:rsid w:val="00EF3343"/>
    <w:rsid w:val="00EF67E9"/>
    <w:rsid w:val="00F00B05"/>
    <w:rsid w:val="00F14B70"/>
    <w:rsid w:val="00F21440"/>
    <w:rsid w:val="00F53279"/>
    <w:rsid w:val="00F560DA"/>
    <w:rsid w:val="00F64714"/>
    <w:rsid w:val="00F64F06"/>
    <w:rsid w:val="00F6565B"/>
    <w:rsid w:val="00F67403"/>
    <w:rsid w:val="00F94D47"/>
    <w:rsid w:val="00FC6920"/>
    <w:rsid w:val="00FD37E2"/>
    <w:rsid w:val="00FD64DA"/>
    <w:rsid w:val="00FE3D8E"/>
    <w:rsid w:val="00FF6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8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29DA"/>
    <w:rPr>
      <w:color w:val="0000FF" w:themeColor="hyperlink"/>
      <w:u w:val="single"/>
    </w:rPr>
  </w:style>
  <w:style w:type="table" w:styleId="TableGrid">
    <w:name w:val="Table Grid"/>
    <w:basedOn w:val="TableNormal"/>
    <w:uiPriority w:val="59"/>
    <w:rsid w:val="00E43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374C"/>
    <w:pPr>
      <w:ind w:left="720"/>
      <w:contextualSpacing/>
    </w:pPr>
  </w:style>
  <w:style w:type="character" w:customStyle="1" w:styleId="BalloonTextChar">
    <w:name w:val="Balloon Text Char"/>
    <w:basedOn w:val="DefaultParagraphFont"/>
    <w:link w:val="BalloonText"/>
    <w:uiPriority w:val="99"/>
    <w:semiHidden/>
    <w:rsid w:val="00E4374C"/>
    <w:rPr>
      <w:rFonts w:ascii="Tahoma" w:hAnsi="Tahoma" w:cs="Tahoma"/>
      <w:sz w:val="16"/>
      <w:szCs w:val="16"/>
    </w:rPr>
  </w:style>
  <w:style w:type="paragraph" w:styleId="BalloonText">
    <w:name w:val="Balloon Text"/>
    <w:basedOn w:val="Normal"/>
    <w:link w:val="BalloonTextChar"/>
    <w:uiPriority w:val="99"/>
    <w:semiHidden/>
    <w:unhideWhenUsed/>
    <w:rsid w:val="00E4374C"/>
    <w:pPr>
      <w:spacing w:after="0" w:line="240" w:lineRule="auto"/>
    </w:pPr>
    <w:rPr>
      <w:rFonts w:ascii="Tahoma" w:hAnsi="Tahoma" w:cs="Tahoma"/>
      <w:sz w:val="16"/>
      <w:szCs w:val="16"/>
    </w:rPr>
  </w:style>
  <w:style w:type="paragraph" w:styleId="EndnoteText">
    <w:name w:val="endnote text"/>
    <w:basedOn w:val="Normal"/>
    <w:link w:val="EndnoteTextChar"/>
    <w:uiPriority w:val="99"/>
    <w:unhideWhenUsed/>
    <w:rsid w:val="00E4374C"/>
    <w:pPr>
      <w:spacing w:after="0" w:line="240" w:lineRule="auto"/>
    </w:pPr>
    <w:rPr>
      <w:sz w:val="20"/>
      <w:szCs w:val="20"/>
    </w:rPr>
  </w:style>
  <w:style w:type="character" w:customStyle="1" w:styleId="EndnoteTextChar">
    <w:name w:val="Endnote Text Char"/>
    <w:basedOn w:val="DefaultParagraphFont"/>
    <w:link w:val="EndnoteText"/>
    <w:uiPriority w:val="99"/>
    <w:rsid w:val="00E4374C"/>
    <w:rPr>
      <w:sz w:val="20"/>
      <w:szCs w:val="20"/>
    </w:rPr>
  </w:style>
  <w:style w:type="character" w:styleId="EndnoteReference">
    <w:name w:val="endnote reference"/>
    <w:basedOn w:val="DefaultParagraphFont"/>
    <w:uiPriority w:val="99"/>
    <w:semiHidden/>
    <w:unhideWhenUsed/>
    <w:rsid w:val="00E4374C"/>
    <w:rPr>
      <w:vertAlign w:val="superscript"/>
    </w:rPr>
  </w:style>
  <w:style w:type="character" w:styleId="FollowedHyperlink">
    <w:name w:val="FollowedHyperlink"/>
    <w:basedOn w:val="DefaultParagraphFont"/>
    <w:uiPriority w:val="99"/>
    <w:semiHidden/>
    <w:unhideWhenUsed/>
    <w:rsid w:val="000002F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8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29DA"/>
    <w:rPr>
      <w:color w:val="0000FF" w:themeColor="hyperlink"/>
      <w:u w:val="single"/>
    </w:rPr>
  </w:style>
  <w:style w:type="table" w:styleId="TableGrid">
    <w:name w:val="Table Grid"/>
    <w:basedOn w:val="TableNormal"/>
    <w:uiPriority w:val="59"/>
    <w:rsid w:val="00E43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374C"/>
    <w:pPr>
      <w:ind w:left="720"/>
      <w:contextualSpacing/>
    </w:pPr>
  </w:style>
  <w:style w:type="character" w:customStyle="1" w:styleId="BalloonTextChar">
    <w:name w:val="Balloon Text Char"/>
    <w:basedOn w:val="DefaultParagraphFont"/>
    <w:link w:val="BalloonText"/>
    <w:uiPriority w:val="99"/>
    <w:semiHidden/>
    <w:rsid w:val="00E4374C"/>
    <w:rPr>
      <w:rFonts w:ascii="Tahoma" w:hAnsi="Tahoma" w:cs="Tahoma"/>
      <w:sz w:val="16"/>
      <w:szCs w:val="16"/>
    </w:rPr>
  </w:style>
  <w:style w:type="paragraph" w:styleId="BalloonText">
    <w:name w:val="Balloon Text"/>
    <w:basedOn w:val="Normal"/>
    <w:link w:val="BalloonTextChar"/>
    <w:uiPriority w:val="99"/>
    <w:semiHidden/>
    <w:unhideWhenUsed/>
    <w:rsid w:val="00E4374C"/>
    <w:pPr>
      <w:spacing w:after="0" w:line="240" w:lineRule="auto"/>
    </w:pPr>
    <w:rPr>
      <w:rFonts w:ascii="Tahoma" w:hAnsi="Tahoma" w:cs="Tahoma"/>
      <w:sz w:val="16"/>
      <w:szCs w:val="16"/>
    </w:rPr>
  </w:style>
  <w:style w:type="paragraph" w:styleId="EndnoteText">
    <w:name w:val="endnote text"/>
    <w:basedOn w:val="Normal"/>
    <w:link w:val="EndnoteTextChar"/>
    <w:uiPriority w:val="99"/>
    <w:unhideWhenUsed/>
    <w:rsid w:val="00E4374C"/>
    <w:pPr>
      <w:spacing w:after="0" w:line="240" w:lineRule="auto"/>
    </w:pPr>
    <w:rPr>
      <w:sz w:val="20"/>
      <w:szCs w:val="20"/>
    </w:rPr>
  </w:style>
  <w:style w:type="character" w:customStyle="1" w:styleId="EndnoteTextChar">
    <w:name w:val="Endnote Text Char"/>
    <w:basedOn w:val="DefaultParagraphFont"/>
    <w:link w:val="EndnoteText"/>
    <w:uiPriority w:val="99"/>
    <w:rsid w:val="00E4374C"/>
    <w:rPr>
      <w:sz w:val="20"/>
      <w:szCs w:val="20"/>
    </w:rPr>
  </w:style>
  <w:style w:type="character" w:styleId="EndnoteReference">
    <w:name w:val="endnote reference"/>
    <w:basedOn w:val="DefaultParagraphFont"/>
    <w:uiPriority w:val="99"/>
    <w:semiHidden/>
    <w:unhideWhenUsed/>
    <w:rsid w:val="00E4374C"/>
    <w:rPr>
      <w:vertAlign w:val="superscript"/>
    </w:rPr>
  </w:style>
  <w:style w:type="character" w:styleId="FollowedHyperlink">
    <w:name w:val="FollowedHyperlink"/>
    <w:basedOn w:val="DefaultParagraphFont"/>
    <w:uiPriority w:val="99"/>
    <w:semiHidden/>
    <w:unhideWhenUsed/>
    <w:rsid w:val="000002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7830">
      <w:bodyDiv w:val="1"/>
      <w:marLeft w:val="0"/>
      <w:marRight w:val="0"/>
      <w:marTop w:val="0"/>
      <w:marBottom w:val="0"/>
      <w:divBdr>
        <w:top w:val="none" w:sz="0" w:space="0" w:color="auto"/>
        <w:left w:val="none" w:sz="0" w:space="0" w:color="auto"/>
        <w:bottom w:val="none" w:sz="0" w:space="0" w:color="auto"/>
        <w:right w:val="none" w:sz="0" w:space="0" w:color="auto"/>
      </w:divBdr>
    </w:div>
    <w:div w:id="371539837">
      <w:bodyDiv w:val="1"/>
      <w:marLeft w:val="0"/>
      <w:marRight w:val="0"/>
      <w:marTop w:val="0"/>
      <w:marBottom w:val="0"/>
      <w:divBdr>
        <w:top w:val="none" w:sz="0" w:space="0" w:color="auto"/>
        <w:left w:val="none" w:sz="0" w:space="0" w:color="auto"/>
        <w:bottom w:val="none" w:sz="0" w:space="0" w:color="auto"/>
        <w:right w:val="none" w:sz="0" w:space="0" w:color="auto"/>
      </w:divBdr>
    </w:div>
    <w:div w:id="712118842">
      <w:bodyDiv w:val="1"/>
      <w:marLeft w:val="0"/>
      <w:marRight w:val="0"/>
      <w:marTop w:val="0"/>
      <w:marBottom w:val="0"/>
      <w:divBdr>
        <w:top w:val="none" w:sz="0" w:space="0" w:color="auto"/>
        <w:left w:val="none" w:sz="0" w:space="0" w:color="auto"/>
        <w:bottom w:val="none" w:sz="0" w:space="0" w:color="auto"/>
        <w:right w:val="none" w:sz="0" w:space="0" w:color="auto"/>
      </w:divBdr>
    </w:div>
    <w:div w:id="798187412">
      <w:bodyDiv w:val="1"/>
      <w:marLeft w:val="0"/>
      <w:marRight w:val="0"/>
      <w:marTop w:val="0"/>
      <w:marBottom w:val="0"/>
      <w:divBdr>
        <w:top w:val="none" w:sz="0" w:space="0" w:color="auto"/>
        <w:left w:val="none" w:sz="0" w:space="0" w:color="auto"/>
        <w:bottom w:val="none" w:sz="0" w:space="0" w:color="auto"/>
        <w:right w:val="none" w:sz="0" w:space="0" w:color="auto"/>
      </w:divBdr>
    </w:div>
    <w:div w:id="1042941111">
      <w:bodyDiv w:val="1"/>
      <w:marLeft w:val="0"/>
      <w:marRight w:val="0"/>
      <w:marTop w:val="0"/>
      <w:marBottom w:val="0"/>
      <w:divBdr>
        <w:top w:val="none" w:sz="0" w:space="0" w:color="auto"/>
        <w:left w:val="none" w:sz="0" w:space="0" w:color="auto"/>
        <w:bottom w:val="none" w:sz="0" w:space="0" w:color="auto"/>
        <w:right w:val="none" w:sz="0" w:space="0" w:color="auto"/>
      </w:divBdr>
    </w:div>
    <w:div w:id="1167359833">
      <w:bodyDiv w:val="1"/>
      <w:marLeft w:val="0"/>
      <w:marRight w:val="0"/>
      <w:marTop w:val="0"/>
      <w:marBottom w:val="0"/>
      <w:divBdr>
        <w:top w:val="none" w:sz="0" w:space="0" w:color="auto"/>
        <w:left w:val="none" w:sz="0" w:space="0" w:color="auto"/>
        <w:bottom w:val="none" w:sz="0" w:space="0" w:color="auto"/>
        <w:right w:val="none" w:sz="0" w:space="0" w:color="auto"/>
      </w:divBdr>
    </w:div>
    <w:div w:id="1335645721">
      <w:bodyDiv w:val="1"/>
      <w:marLeft w:val="0"/>
      <w:marRight w:val="0"/>
      <w:marTop w:val="0"/>
      <w:marBottom w:val="0"/>
      <w:divBdr>
        <w:top w:val="none" w:sz="0" w:space="0" w:color="auto"/>
        <w:left w:val="none" w:sz="0" w:space="0" w:color="auto"/>
        <w:bottom w:val="none" w:sz="0" w:space="0" w:color="auto"/>
        <w:right w:val="none" w:sz="0" w:space="0" w:color="auto"/>
      </w:divBdr>
    </w:div>
    <w:div w:id="1349985757">
      <w:bodyDiv w:val="1"/>
      <w:marLeft w:val="0"/>
      <w:marRight w:val="0"/>
      <w:marTop w:val="0"/>
      <w:marBottom w:val="0"/>
      <w:divBdr>
        <w:top w:val="none" w:sz="0" w:space="0" w:color="auto"/>
        <w:left w:val="none" w:sz="0" w:space="0" w:color="auto"/>
        <w:bottom w:val="none" w:sz="0" w:space="0" w:color="auto"/>
        <w:right w:val="none" w:sz="0" w:space="0" w:color="auto"/>
      </w:divBdr>
    </w:div>
    <w:div w:id="1602952065">
      <w:bodyDiv w:val="1"/>
      <w:marLeft w:val="0"/>
      <w:marRight w:val="0"/>
      <w:marTop w:val="0"/>
      <w:marBottom w:val="0"/>
      <w:divBdr>
        <w:top w:val="none" w:sz="0" w:space="0" w:color="auto"/>
        <w:left w:val="none" w:sz="0" w:space="0" w:color="auto"/>
        <w:bottom w:val="none" w:sz="0" w:space="0" w:color="auto"/>
        <w:right w:val="none" w:sz="0" w:space="0" w:color="auto"/>
      </w:divBdr>
    </w:div>
    <w:div w:id="1681930498">
      <w:bodyDiv w:val="1"/>
      <w:marLeft w:val="0"/>
      <w:marRight w:val="0"/>
      <w:marTop w:val="0"/>
      <w:marBottom w:val="0"/>
      <w:divBdr>
        <w:top w:val="none" w:sz="0" w:space="0" w:color="auto"/>
        <w:left w:val="none" w:sz="0" w:space="0" w:color="auto"/>
        <w:bottom w:val="none" w:sz="0" w:space="0" w:color="auto"/>
        <w:right w:val="none" w:sz="0" w:space="0" w:color="auto"/>
      </w:divBdr>
    </w:div>
    <w:div w:id="1693796329">
      <w:bodyDiv w:val="1"/>
      <w:marLeft w:val="0"/>
      <w:marRight w:val="0"/>
      <w:marTop w:val="0"/>
      <w:marBottom w:val="0"/>
      <w:divBdr>
        <w:top w:val="none" w:sz="0" w:space="0" w:color="auto"/>
        <w:left w:val="none" w:sz="0" w:space="0" w:color="auto"/>
        <w:bottom w:val="none" w:sz="0" w:space="0" w:color="auto"/>
        <w:right w:val="none" w:sz="0" w:space="0" w:color="auto"/>
      </w:divBdr>
    </w:div>
    <w:div w:id="1780637915">
      <w:bodyDiv w:val="1"/>
      <w:marLeft w:val="0"/>
      <w:marRight w:val="0"/>
      <w:marTop w:val="0"/>
      <w:marBottom w:val="0"/>
      <w:divBdr>
        <w:top w:val="none" w:sz="0" w:space="0" w:color="auto"/>
        <w:left w:val="none" w:sz="0" w:space="0" w:color="auto"/>
        <w:bottom w:val="none" w:sz="0" w:space="0" w:color="auto"/>
        <w:right w:val="none" w:sz="0" w:space="0" w:color="auto"/>
      </w:divBdr>
    </w:div>
    <w:div w:id="1819880131">
      <w:bodyDiv w:val="1"/>
      <w:marLeft w:val="0"/>
      <w:marRight w:val="0"/>
      <w:marTop w:val="0"/>
      <w:marBottom w:val="0"/>
      <w:divBdr>
        <w:top w:val="none" w:sz="0" w:space="0" w:color="auto"/>
        <w:left w:val="none" w:sz="0" w:space="0" w:color="auto"/>
        <w:bottom w:val="none" w:sz="0" w:space="0" w:color="auto"/>
        <w:right w:val="none" w:sz="0" w:space="0" w:color="auto"/>
      </w:divBdr>
    </w:div>
    <w:div w:id="2111732991">
      <w:bodyDiv w:val="1"/>
      <w:marLeft w:val="0"/>
      <w:marRight w:val="0"/>
      <w:marTop w:val="0"/>
      <w:marBottom w:val="0"/>
      <w:divBdr>
        <w:top w:val="none" w:sz="0" w:space="0" w:color="auto"/>
        <w:left w:val="none" w:sz="0" w:space="0" w:color="auto"/>
        <w:bottom w:val="none" w:sz="0" w:space="0" w:color="auto"/>
        <w:right w:val="none" w:sz="0" w:space="0" w:color="auto"/>
      </w:divBdr>
    </w:div>
    <w:div w:id="211362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arsen@iupui.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2629</Words>
  <Characters>14987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A. Larsen</dc:creator>
  <cp:lastModifiedBy>Owner</cp:lastModifiedBy>
  <cp:revision>2</cp:revision>
  <dcterms:created xsi:type="dcterms:W3CDTF">2016-01-31T17:07:00Z</dcterms:created>
  <dcterms:modified xsi:type="dcterms:W3CDTF">2016-01-31T17:07:00Z</dcterms:modified>
</cp:coreProperties>
</file>